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PMOMax PID as ISO/IEC 42001 Supporting Documented Information: Alignment Guide</w:t>
      </w:r>
    </w:p>
    <w:p>
      <w:pPr>
        <w:pStyle w:val="Subtitle"/>
      </w:pPr>
      <w:r>
        <w:t xml:space="preserve">A conservative alignment guide for using PMOMax PID outputs as supporting documented information for AI Management System readiness.</w:t>
      </w:r>
    </w:p>
    <w:p>
      <w:pPr>
        <w:pStyle w:val="Author"/>
      </w:pPr>
      <w:r>
        <w:t xml:space="preserve">Katalyst Street / PMOMax</w:t>
      </w:r>
    </w:p>
    <w:p>
      <w:pPr>
        <w:pStyle w:val="Date"/>
      </w:pPr>
      <w:r>
        <w:t xml:space="preserve">May 19, 2026 | Version v1.0</w:t>
      </w:r>
    </w:p>
    <w:p>
      <w:pPr>
        <w:pStyle w:val="FirstParagraph"/>
      </w:pPr>
      <w:r>
        <w:drawing>
          <wp:inline>
            <wp:extent cx="1051560" cy="866826"/>
            <wp:effectExtent b="0" l="0" r="0" t="0"/>
            <wp:docPr descr="" title="" id="21" name="Picture"/>
            <a:graphic>
              <a:graphicData uri="http://schemas.openxmlformats.org/drawingml/2006/picture">
                <pic:pic>
                  <pic:nvPicPr>
                    <pic:cNvPr descr="docs/iso42001/assets/pmomax_logo.png" id="22" name="Picture"/>
                    <pic:cNvPicPr>
                      <a:picLocks noChangeArrowheads="1" noChangeAspect="1"/>
                    </pic:cNvPicPr>
                  </pic:nvPicPr>
                  <pic:blipFill>
                    <a:blip r:embed="rId20"/>
                    <a:stretch>
                      <a:fillRect/>
                    </a:stretch>
                  </pic:blipFill>
                  <pic:spPr bwMode="auto">
                    <a:xfrm>
                      <a:off x="0" y="0"/>
                      <a:ext cx="1051560" cy="866826"/>
                    </a:xfrm>
                    <a:prstGeom prst="rect">
                      <a:avLst/>
                    </a:prstGeom>
                    <a:noFill/>
                    <a:ln w="9525">
                      <a:noFill/>
                      <a:headEnd/>
                      <a:tailEnd/>
                    </a:ln>
                  </pic:spPr>
                </pic:pic>
              </a:graphicData>
            </a:graphic>
          </wp:inline>
        </w:drawing>
      </w:r>
    </w:p>
    <w:bookmarkStart w:id="23" w:name="Xf5db098dcba35556ecaba1809aa81a3e719c164"/>
    <w:p>
      <w:pPr>
        <w:pStyle w:val="Heading1"/>
      </w:pPr>
      <w:r>
        <w:t xml:space="preserve">PMOMax PID as ISO/IEC 42001 Supporting Documented Information: Alignment Guide</w:t>
      </w:r>
    </w:p>
    <w:p>
      <w:pPr>
        <w:pStyle w:val="FirstParagraph"/>
      </w:pPr>
      <w:r>
        <w:rPr>
          <w:b/>
          <w:bCs/>
        </w:rPr>
        <w:t xml:space="preserve">Subtitle:</w:t>
      </w:r>
      <w:r>
        <w:t xml:space="preserve"> </w:t>
      </w:r>
      <w:r>
        <w:t xml:space="preserve">A conservative alignment guide for using PMOMax PID outputs as supporting documented information for AI Management System readiness.</w:t>
      </w:r>
    </w:p>
    <w:p>
      <w:pPr>
        <w:pStyle w:val="BodyText"/>
      </w:pPr>
      <w:r>
        <w:rPr>
          <w:b/>
          <w:bCs/>
        </w:rPr>
        <w:t xml:space="preserve">Version:</w:t>
      </w:r>
      <w:r>
        <w:t xml:space="preserve"> </w:t>
      </w:r>
      <w:r>
        <w:t xml:space="preserve">v1.0</w:t>
      </w:r>
      <w:r>
        <w:br/>
      </w:r>
      <w:r>
        <w:rPr>
          <w:b/>
          <w:bCs/>
        </w:rPr>
        <w:t xml:space="preserve">Date:</w:t>
      </w:r>
      <w:r>
        <w:t xml:space="preserve"> </w:t>
      </w:r>
      <w:r>
        <w:t xml:space="preserve">May 19, 2026</w:t>
      </w:r>
      <w:r>
        <w:br/>
      </w:r>
      <w:r>
        <w:rPr>
          <w:b/>
          <w:bCs/>
        </w:rPr>
        <w:t xml:space="preserve">Prepared by:</w:t>
      </w:r>
      <w:r>
        <w:t xml:space="preserve"> </w:t>
      </w:r>
      <w:r>
        <w:t xml:space="preserve">Katalyst Street / PMOMax</w:t>
      </w:r>
      <w:r>
        <w:br/>
      </w:r>
      <w:r>
        <w:rPr>
          <w:b/>
          <w:bCs/>
        </w:rPr>
        <w:t xml:space="preserve">Prepared for:</w:t>
      </w:r>
      <w:r>
        <w:t xml:space="preserve"> </w:t>
      </w:r>
      <w:r>
        <w:t xml:space="preserve">Enterprise AI governance, PMO, compliance, risk, procurement, and digital transformation review</w:t>
      </w:r>
    </w:p>
    <w:p>
      <w:r>
        <w:pict>
          <v:rect style="width:0;height:1.5pt" o:hralign="center" o:hrstd="t" o:hr="t"/>
        </w:pict>
      </w:r>
    </w:p>
    <w:bookmarkEnd w:id="23"/>
    <w:bookmarkStart w:id="24" w:name="executive-summary"/>
    <w:p>
      <w:pPr>
        <w:pStyle w:val="Heading1"/>
      </w:pPr>
      <w:r>
        <w:t xml:space="preserve">Executive Summary</w:t>
      </w:r>
    </w:p>
    <w:p>
      <w:pPr>
        <w:pStyle w:val="FirstParagraph"/>
      </w:pPr>
      <w:r>
        <w:t xml:space="preserve">ISO/IEC 42001 is an international management system standard for Artificial Intelligence Management Systems. Public ISO materials describe it as a standard for organizations that provide or use AI-based products or services, with emphasis on responsible AI use, risk and opportunity management, transparency, traceability, accountability, reliability, and lifecycle governance.</w:t>
      </w:r>
    </w:p>
    <w:p>
      <w:pPr>
        <w:pStyle w:val="BlockText"/>
      </w:pPr>
      <w:r>
        <w:rPr>
          <w:b/>
          <w:bCs/>
        </w:rPr>
        <w:t xml:space="preserve">Positioning boundary:</w:t>
      </w:r>
      <w:r>
        <w:t xml:space="preserve"> </w:t>
      </w:r>
      <w:r>
        <w:t xml:space="preserve">This guide is a readiness and documented-information alignment aid. It is not a certification statement, not a compliance guarantee, and not a substitute for a complete Artificial Intelligence Management System.</w:t>
      </w:r>
    </w:p>
    <w:p>
      <w:pPr>
        <w:pStyle w:val="FirstParagraph"/>
      </w:pPr>
      <w:r>
        <w:t xml:space="preserve">PMOMax is not an ISO/IEC 42001 certification tool. PMOMax does not make an organization ISO/IEC 42001 compliant, does not replace a complete Artificial Intelligence Management System, and does not replace qualified legal, compliance, audit, consulting, or certification-body review.</w:t>
      </w:r>
    </w:p>
    <w:p>
      <w:pPr>
        <w:pStyle w:val="BodyText"/>
      </w:pPr>
      <w:r>
        <w:t xml:space="preserve">PMOMax can, however, help organizations structure project initiation documentation that may support ISO/IEC 42001 readiness work. The PMOMax Project Initiation Document (PID) captures project-level information around scope, objectives, ownership, stakeholders, risk, mitigation, approvals, human oversight, decision records, compliance notes, lifecycle planning, KPIs, communication cadence, and audit traceability metadata where configured.</w:t>
      </w:r>
    </w:p>
    <w:p>
      <w:pPr>
        <w:pStyle w:val="BodyText"/>
      </w:pPr>
      <w:r>
        <w:t xml:space="preserve">This guide explains how PMOMax PID outputs can be used as supporting documented information in a broader AI governance and ISO/IEC 42001 readiness workflow. It is intentionally conservative. It uses public ISO references only for high-level framing and does not reproduce paid ISO standard text.</w:t>
      </w:r>
    </w:p>
    <w:p>
      <w:pPr>
        <w:pStyle w:val="BodyText"/>
      </w:pPr>
      <w:r>
        <w:t xml:space="preserve">The practical enterprise value is that PMOMax helps convert early AI project planning into structured, reviewable, exportable records that PMO, AI governance, risk, compliance, procurement, and digital transformation teams can evaluate before an AI initiative moves into production or broad operational use.</w:t>
      </w:r>
    </w:p>
    <w:bookmarkEnd w:id="24"/>
    <w:bookmarkStart w:id="27" w:name="what-isoiec-42001-is"/>
    <w:p>
      <w:pPr>
        <w:pStyle w:val="Heading1"/>
      </w:pPr>
      <w:r>
        <w:t xml:space="preserve">What ISO/IEC 42001 Is</w:t>
      </w:r>
    </w:p>
    <w:bookmarkStart w:id="25" w:name="management-system-context"/>
    <w:p>
      <w:pPr>
        <w:pStyle w:val="Heading2"/>
      </w:pPr>
      <w:r>
        <w:t xml:space="preserve">Management System Context</w:t>
      </w:r>
    </w:p>
    <w:p>
      <w:pPr>
        <w:pStyle w:val="FirstParagraph"/>
      </w:pPr>
      <w:r>
        <w:t xml:space="preserve">ISO describes ISO/IEC 42001 as an international standard that specifies requirements for establishing, implementing, maintaining, and continually improving an Artificial Intelligence Management System within organizations. ISO also describes the standard as designed for entities that provide or use AI-based products or services.</w:t>
      </w:r>
    </w:p>
    <w:p>
      <w:pPr>
        <w:pStyle w:val="BodyText"/>
      </w:pPr>
      <w:r>
        <w:t xml:space="preserve">Public ISO materials frame ISO/IEC 42001 as a management system standard. That point is important. A management system standard is not simply a checklist for one model, one application, or one project. It is a structured way for an organization to establish responsibilities, policies, objectives, processes, controls, monitoring, and improvement practices around AI.</w:t>
      </w:r>
    </w:p>
    <w:bookmarkEnd w:id="25"/>
    <w:bookmarkStart w:id="26" w:name="readiness-implications"/>
    <w:p>
      <w:pPr>
        <w:pStyle w:val="Heading2"/>
      </w:pPr>
      <w:r>
        <w:t xml:space="preserve">Readiness Implications</w:t>
      </w:r>
    </w:p>
    <w:p>
      <w:pPr>
        <w:pStyle w:val="FirstParagraph"/>
      </w:pPr>
      <w:r>
        <w:t xml:space="preserve">Public ISO explanation material states that an AI management system can help organizations define responsibilities for AI use, identify and assess AI-related risks, support transparency and accountability, manage data quality and system performance, address ethical, legal, and societal concerns, and monitor AI systems throughout the lifecycle.</w:t>
      </w:r>
    </w:p>
    <w:p>
      <w:pPr>
        <w:pStyle w:val="BodyText"/>
      </w:pPr>
      <w:r>
        <w:t xml:space="preserve">ISO also states publicly that certification is voluntary and performed by independent certification bodies, not by ISO itself. This guide therefore does not imply that PMOMax, a PMOMax PID, or this alignment document creates certification status.</w:t>
      </w:r>
    </w:p>
    <w:p>
      <w:pPr>
        <w:pStyle w:val="BodyText"/>
      </w:pPr>
      <w:r>
        <w:t xml:space="preserve">Related context is also relevant:</w:t>
      </w:r>
    </w:p>
    <w:p>
      <w:pPr>
        <w:pStyle w:val="Compact"/>
        <w:numPr>
          <w:ilvl w:val="0"/>
          <w:numId w:val="1001"/>
        </w:numPr>
      </w:pPr>
      <w:r>
        <w:t xml:space="preserve">ISO/IEC 42005 provides guidance for AI system impact assessments and supports transparency, accountability, trust, and lifecycle impact documentation.</w:t>
      </w:r>
    </w:p>
    <w:p>
      <w:pPr>
        <w:pStyle w:val="Compact"/>
        <w:numPr>
          <w:ilvl w:val="0"/>
          <w:numId w:val="1001"/>
        </w:numPr>
      </w:pPr>
      <w:r>
        <w:t xml:space="preserve">ISO/IEC 23894 provides guidance for managing AI-related risk and integrating AI risk management into AI-related activities and functions.</w:t>
      </w:r>
    </w:p>
    <w:p>
      <w:pPr>
        <w:pStyle w:val="FirstParagraph"/>
      </w:pPr>
      <w:r>
        <w:t xml:space="preserve">These related standards reinforce the importance of structured records around purpose, risk, impact, accountability, decisions, and lifecycle management. PMOMax PID outputs can help teams assemble some of that project-level information, but they do not replace full risk management, impact assessment, or AIMS documentation.</w:t>
      </w:r>
    </w:p>
    <w:bookmarkEnd w:id="26"/>
    <w:bookmarkEnd w:id="27"/>
    <w:bookmarkStart w:id="29" w:name="Xbf6a35263098813817c29e7b40fb8ea0d6a386d"/>
    <w:p>
      <w:pPr>
        <w:pStyle w:val="Heading1"/>
      </w:pPr>
      <w:r>
        <w:t xml:space="preserve">Why Documented Information Matters for AI Governance</w:t>
      </w:r>
    </w:p>
    <w:bookmarkStart w:id="28" w:name="governance-evidence-starts-at-initiation"/>
    <w:p>
      <w:pPr>
        <w:pStyle w:val="Heading2"/>
      </w:pPr>
      <w:r>
        <w:t xml:space="preserve">Governance Evidence Starts at Initiation</w:t>
      </w:r>
    </w:p>
    <w:p>
      <w:pPr>
        <w:pStyle w:val="FirstParagraph"/>
      </w:pPr>
      <w:r>
        <w:t xml:space="preserve">AI governance depends on decisions that can be reviewed. Enterprise teams need to know what was approved, what was excluded, who owned the outcome, what risks were identified, what mitigations were planned, what assumptions were accepted, what dependencies existed, and what follow-up actions remained open.</w:t>
      </w:r>
    </w:p>
    <w:p>
      <w:pPr>
        <w:pStyle w:val="BodyText"/>
      </w:pPr>
      <w:r>
        <w:t xml:space="preserve">For AI projects, this is especially important because the same project can affect business operations, customer experience, security, privacy, fairness, safety, vendor reliance, employee workflows, legal obligations, and procurement controls. If these items are not captured during initiation, teams often reconstruct them later under pressure from auditors, customers, regulators, security reviewers, procurement teams, or executive governance forums.</w:t>
      </w:r>
    </w:p>
    <w:p>
      <w:pPr>
        <w:pStyle w:val="BodyText"/>
      </w:pPr>
      <w:r>
        <w:t xml:space="preserve">Documented information is therefore not only an administrative artifact. It is a practical control surface. It helps organizations:</w:t>
      </w:r>
    </w:p>
    <w:p>
      <w:pPr>
        <w:pStyle w:val="Compact"/>
        <w:numPr>
          <w:ilvl w:val="0"/>
          <w:numId w:val="1002"/>
        </w:numPr>
      </w:pPr>
      <w:r>
        <w:t xml:space="preserve">Establish a consistent record of project scope and intended outcomes.</w:t>
      </w:r>
    </w:p>
    <w:p>
      <w:pPr>
        <w:pStyle w:val="Compact"/>
        <w:numPr>
          <w:ilvl w:val="0"/>
          <w:numId w:val="1002"/>
        </w:numPr>
      </w:pPr>
      <w:r>
        <w:t xml:space="preserve">Identify responsible owners and accountable governance participants.</w:t>
      </w:r>
    </w:p>
    <w:p>
      <w:pPr>
        <w:pStyle w:val="Compact"/>
        <w:numPr>
          <w:ilvl w:val="0"/>
          <w:numId w:val="1002"/>
        </w:numPr>
      </w:pPr>
      <w:r>
        <w:t xml:space="preserve">Capture risk and impact considerations before deployment.</w:t>
      </w:r>
    </w:p>
    <w:p>
      <w:pPr>
        <w:pStyle w:val="Compact"/>
        <w:numPr>
          <w:ilvl w:val="0"/>
          <w:numId w:val="1002"/>
        </w:numPr>
      </w:pPr>
      <w:r>
        <w:t xml:space="preserve">Record approval gates, decision points, and review expectations.</w:t>
      </w:r>
    </w:p>
    <w:p>
      <w:pPr>
        <w:pStyle w:val="Compact"/>
        <w:numPr>
          <w:ilvl w:val="0"/>
          <w:numId w:val="1002"/>
        </w:numPr>
      </w:pPr>
      <w:r>
        <w:t xml:space="preserve">Preserve assumptions, constraints, dependencies, and open questions.</w:t>
      </w:r>
    </w:p>
    <w:p>
      <w:pPr>
        <w:pStyle w:val="Compact"/>
        <w:numPr>
          <w:ilvl w:val="0"/>
          <w:numId w:val="1002"/>
        </w:numPr>
      </w:pPr>
      <w:r>
        <w:t xml:space="preserve">Support later internal audits, customer assurance reviews, and readiness assessments.</w:t>
      </w:r>
    </w:p>
    <w:p>
      <w:pPr>
        <w:pStyle w:val="FirstParagraph"/>
      </w:pPr>
      <w:r>
        <w:t xml:space="preserve">PMOMax focuses on project initiation. That makes its contribution narrow but valuable. A PID is not an AIMS. A PID can, however, become an early evidence package that supports AIMS readiness conversations.</w:t>
      </w:r>
    </w:p>
    <w:p>
      <w:pPr>
        <w:pStyle w:val="BlockText"/>
      </w:pPr>
      <w:r>
        <w:rPr>
          <w:b/>
          <w:bCs/>
        </w:rPr>
        <w:t xml:space="preserve">Enterprise use case:</w:t>
      </w:r>
      <w:r>
        <w:t xml:space="preserve"> </w:t>
      </w:r>
      <w:r>
        <w:t xml:space="preserve">PMOMax is most useful when organizations need a consistent intake and initiation record before an AI project enters procurement review, security review, risk review, executive governance, or operational deployment planning.</w:t>
      </w:r>
    </w:p>
    <w:bookmarkEnd w:id="28"/>
    <w:bookmarkEnd w:id="29"/>
    <w:bookmarkStart w:id="33" w:name="how-pmomax-pid-supports-aims-evidence"/>
    <w:p>
      <w:pPr>
        <w:pStyle w:val="Heading1"/>
      </w:pPr>
      <w:r>
        <w:t xml:space="preserve">How PMOMax PID Supports AIMS Evidence</w:t>
      </w:r>
    </w:p>
    <w:bookmarkStart w:id="30" w:name="verified-pmomax-pid-evidence-areas"/>
    <w:p>
      <w:pPr>
        <w:pStyle w:val="Heading2"/>
      </w:pPr>
      <w:r>
        <w:t xml:space="preserve">Verified PMOMax PID Evidence Areas</w:t>
      </w:r>
    </w:p>
    <w:p>
      <w:pPr>
        <w:pStyle w:val="FirstParagraph"/>
      </w:pPr>
      <w:r>
        <w:t xml:space="preserve">The PMOMax codebase includes a canonical PID structure with sections for project definition and governance. Verified PID evidence areas include title metadata, executive summary, problem statement, business case, SMART objectives, KPIs, scope inclusions, scope exclusions, assumptions, constraints, dependencies, stakeholders, sponsor, project manager or owner, RACI, timeline, milestones, work breakdown tasks, budget, resources and tools, risks, mitigations and contingencies, issues and decisions log, communication plan, governance approvals, compliance/security/privacy notes, open questions, next steps, and notes/background.</w:t>
      </w:r>
    </w:p>
    <w:p>
      <w:pPr>
        <w:pStyle w:val="BodyText"/>
      </w:pPr>
      <w:r>
        <w:t xml:space="preserve">The schema also includes optional audit metadata and trace fields. These fields can support traceability where configured, including identifiers, source, timestamps, populated-field counts, warning counts, trace level, and step labels. This should be positioned carefully: audit traceability support is valuable, but it does not by itself establish compliance or complete evidence retention.</w:t>
      </w:r>
    </w:p>
    <w:p>
      <w:pPr>
        <w:pStyle w:val="BodyText"/>
      </w:pPr>
      <w:r>
        <w:t xml:space="preserve">PMOMax also supports export-oriented workflows. Local product materials and code references indicate Word, PDF, and JSON export positioning for PID outputs. These export formats make the PID practical for governance review, procurement evidence, internal audit preparation, and collaboration with external advisors.</w:t>
      </w:r>
    </w:p>
    <w:bookmarkEnd w:id="30"/>
    <w:bookmarkStart w:id="31" w:name="strongest-support-areas"/>
    <w:p>
      <w:pPr>
        <w:pStyle w:val="Heading2"/>
      </w:pPr>
      <w:r>
        <w:t xml:space="preserve">Strongest Support Areas</w:t>
      </w:r>
    </w:p>
    <w:p>
      <w:pPr>
        <w:pStyle w:val="FirstParagraph"/>
      </w:pPr>
      <w:r>
        <w:t xml:space="preserve">The strongest PMOMax support areas are:</w:t>
      </w:r>
    </w:p>
    <w:p>
      <w:pPr>
        <w:pStyle w:val="Compact"/>
        <w:numPr>
          <w:ilvl w:val="0"/>
          <w:numId w:val="1003"/>
        </w:numPr>
      </w:pPr>
      <w:r>
        <w:t xml:space="preserve">Project scope and boundary documentation.</w:t>
      </w:r>
    </w:p>
    <w:p>
      <w:pPr>
        <w:pStyle w:val="Compact"/>
        <w:numPr>
          <w:ilvl w:val="0"/>
          <w:numId w:val="1003"/>
        </w:numPr>
      </w:pPr>
      <w:r>
        <w:t xml:space="preserve">Objectives, KPIs, intended outcomes, and business value.</w:t>
      </w:r>
    </w:p>
    <w:p>
      <w:pPr>
        <w:pStyle w:val="Compact"/>
        <w:numPr>
          <w:ilvl w:val="0"/>
          <w:numId w:val="1003"/>
        </w:numPr>
      </w:pPr>
      <w:r>
        <w:t xml:space="preserve">Ownership, sponsorship, stakeholder visibility, and RACI.</w:t>
      </w:r>
    </w:p>
    <w:p>
      <w:pPr>
        <w:pStyle w:val="Compact"/>
        <w:numPr>
          <w:ilvl w:val="0"/>
          <w:numId w:val="1003"/>
        </w:numPr>
      </w:pPr>
      <w:r>
        <w:t xml:space="preserve">Risk identification and mitigation planning.</w:t>
      </w:r>
    </w:p>
    <w:p>
      <w:pPr>
        <w:pStyle w:val="Compact"/>
        <w:numPr>
          <w:ilvl w:val="0"/>
          <w:numId w:val="1003"/>
        </w:numPr>
      </w:pPr>
      <w:r>
        <w:t xml:space="preserve">Compliance, privacy, and security notes.</w:t>
      </w:r>
    </w:p>
    <w:p>
      <w:pPr>
        <w:pStyle w:val="Compact"/>
        <w:numPr>
          <w:ilvl w:val="0"/>
          <w:numId w:val="1003"/>
        </w:numPr>
      </w:pPr>
      <w:r>
        <w:t xml:space="preserve">Governance approvals and signoff requirements.</w:t>
      </w:r>
    </w:p>
    <w:p>
      <w:pPr>
        <w:pStyle w:val="Compact"/>
        <w:numPr>
          <w:ilvl w:val="0"/>
          <w:numId w:val="1003"/>
        </w:numPr>
      </w:pPr>
      <w:r>
        <w:t xml:space="preserve">Decision logging and follow-up actions.</w:t>
      </w:r>
    </w:p>
    <w:p>
      <w:pPr>
        <w:pStyle w:val="Compact"/>
        <w:numPr>
          <w:ilvl w:val="0"/>
          <w:numId w:val="1003"/>
        </w:numPr>
      </w:pPr>
      <w:r>
        <w:t xml:space="preserve">Lifecycle planning through milestones, tasks, dependencies, and communication cadence.</w:t>
      </w:r>
    </w:p>
    <w:p>
      <w:pPr>
        <w:pStyle w:val="Compact"/>
        <w:numPr>
          <w:ilvl w:val="0"/>
          <w:numId w:val="1003"/>
        </w:numPr>
      </w:pPr>
      <w:r>
        <w:t xml:space="preserve">AI output traceability metadata where audit settings are enabled.</w:t>
      </w:r>
    </w:p>
    <w:bookmarkEnd w:id="31"/>
    <w:bookmarkStart w:id="32" w:name="boundary-areas"/>
    <w:p>
      <w:pPr>
        <w:pStyle w:val="Heading2"/>
      </w:pPr>
      <w:r>
        <w:t xml:space="preserve">Boundary Areas</w:t>
      </w:r>
    </w:p>
    <w:p>
      <w:pPr>
        <w:pStyle w:val="FirstParagraph"/>
      </w:pPr>
      <w:r>
        <w:t xml:space="preserve">The weakest areas are full AIMS coverage, certification readiness determination, organization-wide policy management, supplier-control assurance, internal audit, management review, corrective action, competence records, and complete AI impact assessment. Those are outside the verified PMOMax PID schema and must be addressed by the customer organization through broader governance processes.</w:t>
      </w:r>
    </w:p>
    <w:bookmarkEnd w:id="32"/>
    <w:bookmarkEnd w:id="33"/>
    <w:bookmarkStart w:id="38" w:name="Xc104e69d6bf89479d3c6ce87ddc8c3345ed1252"/>
    <w:p>
      <w:pPr>
        <w:pStyle w:val="Heading1"/>
      </w:pPr>
      <w:r>
        <w:t xml:space="preserve">PMOMax PID-to-ISO/IEC 42001 Alignment Crosswalk</w:t>
      </w:r>
    </w:p>
    <w:p>
      <w:pPr>
        <w:pStyle w:val="FirstParagraph"/>
      </w:pPr>
      <w:r>
        <w:t xml:space="preserve">This crosswalk is a conservative mapping based on public ISO descriptions and verified PMOMax PID capabilities. It should be used as a buyer-facing readiness discussion aid, not as an authoritative clause-by-clause interpretation of ISO/IEC 42001.</w:t>
      </w:r>
    </w:p>
    <w:bookmarkStart w:id="34" w:name="how-to-read-the-coverage-levels"/>
    <w:p>
      <w:pPr>
        <w:pStyle w:val="Heading2"/>
      </w:pPr>
      <w:r>
        <w:t xml:space="preserve">How to Read the Coverage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Coverage level</w:t>
            </w:r>
          </w:p>
        </w:tc>
        <w:tc>
          <w:tcPr/>
          <w:p>
            <w:pPr>
              <w:pStyle w:val="Compact"/>
            </w:pPr>
            <w:r>
              <w:t xml:space="preserve">Meaning</w:t>
            </w:r>
          </w:p>
        </w:tc>
      </w:tr>
      <w:tr>
        <w:tc>
          <w:tcPr/>
          <w:p>
            <w:pPr>
              <w:pStyle w:val="Compact"/>
            </w:pPr>
            <w:r>
              <w:t xml:space="preserve">Strong</w:t>
            </w:r>
          </w:p>
        </w:tc>
        <w:tc>
          <w:tcPr/>
          <w:p>
            <w:pPr>
              <w:pStyle w:val="Compact"/>
            </w:pPr>
            <w:r>
              <w:t xml:space="preserve">PMOMax has a direct project-level PID section that can support this evidence area when completed by the organization.</w:t>
            </w:r>
          </w:p>
        </w:tc>
      </w:tr>
      <w:tr>
        <w:tc>
          <w:tcPr/>
          <w:p>
            <w:pPr>
              <w:pStyle w:val="Compact"/>
            </w:pPr>
            <w:r>
              <w:t xml:space="preserve">Partial</w:t>
            </w:r>
          </w:p>
        </w:tc>
        <w:tc>
          <w:tcPr/>
          <w:p>
            <w:pPr>
              <w:pStyle w:val="Compact"/>
            </w:pPr>
            <w:r>
              <w:t xml:space="preserve">PMOMax can support initiation-level evidence, but the organization needs additional processes, records, or reviews.</w:t>
            </w:r>
          </w:p>
        </w:tc>
      </w:tr>
      <w:tr>
        <w:tc>
          <w:tcPr/>
          <w:p>
            <w:pPr>
              <w:pStyle w:val="Compact"/>
            </w:pPr>
            <w:r>
              <w:t xml:space="preserve">Not covered</w:t>
            </w:r>
          </w:p>
        </w:tc>
        <w:tc>
          <w:tcPr/>
          <w:p>
            <w:pPr>
              <w:pStyle w:val="Compact"/>
            </w:pPr>
            <w:r>
              <w:t xml:space="preserve">The area is outside the verified PMOMax PID scope and should be handled by the organization’s broader AIMS or governance program.</w:t>
            </w:r>
          </w:p>
        </w:tc>
      </w:tr>
    </w:tbl>
    <w:bookmarkEnd w:id="34"/>
    <w:bookmarkStart w:id="35" w:name="strong-project-level-support"/>
    <w:p>
      <w:pPr>
        <w:pStyle w:val="Heading2"/>
      </w:pPr>
      <w:r>
        <w:t xml:space="preserve">Strong Project-Level Support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ISO/IEC 42001 readiness area</w:t>
            </w:r>
          </w:p>
        </w:tc>
        <w:tc>
          <w:tcPr/>
          <w:p>
            <w:pPr>
              <w:pStyle w:val="Compact"/>
            </w:pPr>
            <w:r>
              <w:t xml:space="preserve">PMOMax PID support</w:t>
            </w:r>
          </w:p>
        </w:tc>
        <w:tc>
          <w:tcPr/>
          <w:p>
            <w:pPr>
              <w:pStyle w:val="Compact"/>
            </w:pPr>
            <w:r>
              <w:t xml:space="preserve">Coverage</w:t>
            </w:r>
          </w:p>
        </w:tc>
      </w:tr>
      <w:tr>
        <w:tc>
          <w:tcPr/>
          <w:p>
            <w:pPr>
              <w:pStyle w:val="Compact"/>
            </w:pPr>
            <w:r>
              <w:t xml:space="preserve">Organizational / AI project scope</w:t>
            </w:r>
          </w:p>
        </w:tc>
        <w:tc>
          <w:tcPr/>
          <w:p>
            <w:pPr>
              <w:pStyle w:val="Compact"/>
            </w:pPr>
            <w:r>
              <w:t xml:space="preserve">Captures project title, problem statement, business case, scope inclusions/exclusions, assumptions, and constraints.</w:t>
            </w:r>
          </w:p>
        </w:tc>
        <w:tc>
          <w:tcPr/>
          <w:p>
            <w:pPr>
              <w:pStyle w:val="Compact"/>
            </w:pPr>
            <w:r>
              <w:t xml:space="preserve">Strong at project level</w:t>
            </w:r>
          </w:p>
        </w:tc>
      </w:tr>
      <w:tr>
        <w:tc>
          <w:tcPr/>
          <w:p>
            <w:pPr>
              <w:pStyle w:val="Compact"/>
            </w:pPr>
            <w:r>
              <w:t xml:space="preserve">AI objectives and intended outcomes</w:t>
            </w:r>
          </w:p>
        </w:tc>
        <w:tc>
          <w:tcPr/>
          <w:p>
            <w:pPr>
              <w:pStyle w:val="Compact"/>
            </w:pPr>
            <w:r>
              <w:t xml:space="preserve">Captures SMART objectives and KPIs with baselines and targets.</w:t>
            </w:r>
          </w:p>
        </w:tc>
        <w:tc>
          <w:tcPr/>
          <w:p>
            <w:pPr>
              <w:pStyle w:val="Compact"/>
            </w:pPr>
            <w:r>
              <w:t xml:space="preserve">Strong at project level</w:t>
            </w:r>
          </w:p>
        </w:tc>
      </w:tr>
      <w:tr>
        <w:tc>
          <w:tcPr/>
          <w:p>
            <w:pPr>
              <w:pStyle w:val="Compact"/>
            </w:pPr>
            <w:r>
              <w:t xml:space="preserve">Roles and responsibilities</w:t>
            </w:r>
          </w:p>
        </w:tc>
        <w:tc>
          <w:tcPr/>
          <w:p>
            <w:pPr>
              <w:pStyle w:val="Compact"/>
            </w:pPr>
            <w:r>
              <w:t xml:space="preserve">Captures sponsor, project manager/owner, stakeholders, and RACI.</w:t>
            </w:r>
          </w:p>
        </w:tc>
        <w:tc>
          <w:tcPr/>
          <w:p>
            <w:pPr>
              <w:pStyle w:val="Compact"/>
            </w:pPr>
            <w:r>
              <w:t xml:space="preserve">Strong</w:t>
            </w:r>
          </w:p>
        </w:tc>
      </w:tr>
      <w:tr>
        <w:tc>
          <w:tcPr/>
          <w:p>
            <w:pPr>
              <w:pStyle w:val="Compact"/>
            </w:pPr>
            <w:r>
              <w:t xml:space="preserve">Stakeholders and accountable owners</w:t>
            </w:r>
          </w:p>
        </w:tc>
        <w:tc>
          <w:tcPr/>
          <w:p>
            <w:pPr>
              <w:pStyle w:val="Compact"/>
            </w:pPr>
            <w:r>
              <w:t xml:space="preserve">Captures stakeholder records, owner fields, RACI, approval gates, and communication audiences.</w:t>
            </w:r>
          </w:p>
        </w:tc>
        <w:tc>
          <w:tcPr/>
          <w:p>
            <w:pPr>
              <w:pStyle w:val="Compact"/>
            </w:pPr>
            <w:r>
              <w:t xml:space="preserve">Strong</w:t>
            </w:r>
          </w:p>
        </w:tc>
      </w:tr>
      <w:tr>
        <w:tc>
          <w:tcPr/>
          <w:p>
            <w:pPr>
              <w:pStyle w:val="Compact"/>
            </w:pPr>
            <w:r>
              <w:t xml:space="preserve">Risk identification and mitigation planning</w:t>
            </w:r>
          </w:p>
        </w:tc>
        <w:tc>
          <w:tcPr/>
          <w:p>
            <w:pPr>
              <w:pStyle w:val="Compact"/>
            </w:pPr>
            <w:r>
              <w:t xml:space="preserve">Captures risks, probability, impact, mitigations, and contingencies.</w:t>
            </w:r>
          </w:p>
        </w:tc>
        <w:tc>
          <w:tcPr/>
          <w:p>
            <w:pPr>
              <w:pStyle w:val="Compact"/>
            </w:pPr>
            <w:r>
              <w:t xml:space="preserve">Strong for initiation</w:t>
            </w:r>
          </w:p>
        </w:tc>
      </w:tr>
      <w:tr>
        <w:tc>
          <w:tcPr/>
          <w:p>
            <w:pPr>
              <w:pStyle w:val="Compact"/>
            </w:pPr>
            <w:r>
              <w:t xml:space="preserve">Decision logging / decision records</w:t>
            </w:r>
          </w:p>
        </w:tc>
        <w:tc>
          <w:tcPr/>
          <w:p>
            <w:pPr>
              <w:pStyle w:val="Compact"/>
            </w:pPr>
            <w:r>
              <w:t xml:space="preserve">Captures issues, decisions, owners, and dates.</w:t>
            </w:r>
          </w:p>
        </w:tc>
        <w:tc>
          <w:tcPr/>
          <w:p>
            <w:pPr>
              <w:pStyle w:val="Compact"/>
            </w:pPr>
            <w:r>
              <w:t xml:space="preserve">Strong</w:t>
            </w:r>
          </w:p>
        </w:tc>
      </w:tr>
      <w:tr>
        <w:tc>
          <w:tcPr/>
          <w:p>
            <w:pPr>
              <w:pStyle w:val="Compact"/>
            </w:pPr>
            <w:r>
              <w:t xml:space="preserve">Lifecycle planning</w:t>
            </w:r>
          </w:p>
        </w:tc>
        <w:tc>
          <w:tcPr/>
          <w:p>
            <w:pPr>
              <w:pStyle w:val="Compact"/>
            </w:pPr>
            <w:r>
              <w:t xml:space="preserve">Captures timeline, milestones, work breakdown, dependencies, resources/tools, and status.</w:t>
            </w:r>
          </w:p>
        </w:tc>
        <w:tc>
          <w:tcPr/>
          <w:p>
            <w:pPr>
              <w:pStyle w:val="Compact"/>
            </w:pPr>
            <w:r>
              <w:t xml:space="preserve">Strong for planning</w:t>
            </w:r>
          </w:p>
        </w:tc>
      </w:tr>
      <w:tr>
        <w:tc>
          <w:tcPr/>
          <w:p>
            <w:pPr>
              <w:pStyle w:val="Compact"/>
            </w:pPr>
            <w:r>
              <w:t xml:space="preserve">Communications and review cadence</w:t>
            </w:r>
          </w:p>
        </w:tc>
        <w:tc>
          <w:tcPr/>
          <w:p>
            <w:pPr>
              <w:pStyle w:val="Compact"/>
            </w:pPr>
            <w:r>
              <w:t xml:space="preserve">Captures audience, cadence, and channel.</w:t>
            </w:r>
          </w:p>
        </w:tc>
        <w:tc>
          <w:tcPr/>
          <w:p>
            <w:pPr>
              <w:pStyle w:val="Compact"/>
            </w:pPr>
            <w:r>
              <w:t xml:space="preserve">Strong</w:t>
            </w:r>
          </w:p>
        </w:tc>
      </w:tr>
    </w:tbl>
    <w:bookmarkEnd w:id="35"/>
    <w:bookmarkStart w:id="36" w:name="partial-support-areas"/>
    <w:p>
      <w:pPr>
        <w:pStyle w:val="Heading2"/>
      </w:pPr>
      <w:r>
        <w:t xml:space="preserve">Partial Support Areas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ISO/IEC 42001 readiness area</w:t>
            </w:r>
          </w:p>
        </w:tc>
        <w:tc>
          <w:tcPr/>
          <w:p>
            <w:pPr>
              <w:pStyle w:val="Compact"/>
            </w:pPr>
            <w:r>
              <w:t xml:space="preserve">PMOMax PID support</w:t>
            </w:r>
          </w:p>
        </w:tc>
        <w:tc>
          <w:tcPr/>
          <w:p>
            <w:pPr>
              <w:pStyle w:val="Compact"/>
            </w:pPr>
            <w:r>
              <w:t xml:space="preserve">Coverage</w:t>
            </w:r>
          </w:p>
        </w:tc>
      </w:tr>
      <w:tr>
        <w:tc>
          <w:tcPr/>
          <w:p>
            <w:pPr>
              <w:pStyle w:val="Compact"/>
            </w:pPr>
            <w:r>
              <w:t xml:space="preserve">Impact considerations</w:t>
            </w:r>
          </w:p>
        </w:tc>
        <w:tc>
          <w:tcPr/>
          <w:p>
            <w:pPr>
              <w:pStyle w:val="Compact"/>
            </w:pPr>
            <w:r>
              <w:t xml:space="preserve">Captures impact-relevant context through objectives, stakeholders, compliance notes, risks, constraints, and open questions.</w:t>
            </w:r>
          </w:p>
        </w:tc>
        <w:tc>
          <w:tcPr/>
          <w:p>
            <w:pPr>
              <w:pStyle w:val="Compact"/>
            </w:pPr>
            <w:r>
              <w:t xml:space="preserve">Partial</w:t>
            </w:r>
          </w:p>
        </w:tc>
      </w:tr>
      <w:tr>
        <w:tc>
          <w:tcPr/>
          <w:p>
            <w:pPr>
              <w:pStyle w:val="Compact"/>
            </w:pPr>
            <w:r>
              <w:t xml:space="preserve">Human oversight and approval gates</w:t>
            </w:r>
          </w:p>
        </w:tc>
        <w:tc>
          <w:tcPr/>
          <w:p>
            <w:pPr>
              <w:pStyle w:val="Compact"/>
            </w:pPr>
            <w:r>
              <w:t xml:space="preserve">Captures governance approvals, signoff requirements, decision logs, owners, and communication cadence.</w:t>
            </w:r>
          </w:p>
        </w:tc>
        <w:tc>
          <w:tcPr/>
          <w:p>
            <w:pPr>
              <w:pStyle w:val="Compact"/>
            </w:pPr>
            <w:r>
              <w:t xml:space="preserve">Partial to strong depending on user input</w:t>
            </w:r>
          </w:p>
        </w:tc>
      </w:tr>
      <w:tr>
        <w:tc>
          <w:tcPr/>
          <w:p>
            <w:pPr>
              <w:pStyle w:val="Compact"/>
            </w:pPr>
            <w:r>
              <w:t xml:space="preserve">Compliance, privacy, and security notes</w:t>
            </w:r>
          </w:p>
        </w:tc>
        <w:tc>
          <w:tcPr/>
          <w:p>
            <w:pPr>
              <w:pStyle w:val="Compact"/>
            </w:pPr>
            <w:r>
              <w:t xml:space="preserve">Captures requirements and notes for compliance/security/privacy review.</w:t>
            </w:r>
          </w:p>
        </w:tc>
        <w:tc>
          <w:tcPr/>
          <w:p>
            <w:pPr>
              <w:pStyle w:val="Compact"/>
            </w:pPr>
            <w:r>
              <w:t xml:space="preserve">Partial</w:t>
            </w:r>
          </w:p>
        </w:tc>
      </w:tr>
      <w:tr>
        <w:tc>
          <w:tcPr/>
          <w:p>
            <w:pPr>
              <w:pStyle w:val="Compact"/>
            </w:pPr>
            <w:r>
              <w:t xml:space="preserve">Evidence traceability / audit metadata</w:t>
            </w:r>
          </w:p>
        </w:tc>
        <w:tc>
          <w:tcPr/>
          <w:p>
            <w:pPr>
              <w:pStyle w:val="Compact"/>
            </w:pPr>
            <w:r>
              <w:t xml:space="preserve">Supports optional audit metadata and trace fields for AI-assisted outputs where configured.</w:t>
            </w:r>
          </w:p>
        </w:tc>
        <w:tc>
          <w:tcPr/>
          <w:p>
            <w:pPr>
              <w:pStyle w:val="Compact"/>
            </w:pPr>
            <w:r>
              <w:t xml:space="preserve">Partial</w:t>
            </w:r>
          </w:p>
        </w:tc>
      </w:tr>
      <w:tr>
        <w:tc>
          <w:tcPr/>
          <w:p>
            <w:pPr>
              <w:pStyle w:val="Compact"/>
            </w:pPr>
            <w:r>
              <w:t xml:space="preserve">Performance / KPI tracking</w:t>
            </w:r>
          </w:p>
        </w:tc>
        <w:tc>
          <w:tcPr/>
          <w:p>
            <w:pPr>
              <w:pStyle w:val="Compact"/>
            </w:pPr>
            <w:r>
              <w:t xml:space="preserve">Captures KPIs, baselines, targets, objectives, milestones, and status.</w:t>
            </w:r>
          </w:p>
        </w:tc>
        <w:tc>
          <w:tcPr/>
          <w:p>
            <w:pPr>
              <w:pStyle w:val="Compact"/>
            </w:pPr>
            <w:r>
              <w:t xml:space="preserve">Partial</w:t>
            </w:r>
          </w:p>
        </w:tc>
      </w:tr>
      <w:tr>
        <w:tc>
          <w:tcPr/>
          <w:p>
            <w:pPr>
              <w:pStyle w:val="Compact"/>
            </w:pPr>
            <w:r>
              <w:t xml:space="preserve">Change or follow-up actions</w:t>
            </w:r>
          </w:p>
        </w:tc>
        <w:tc>
          <w:tcPr/>
          <w:p>
            <w:pPr>
              <w:pStyle w:val="Compact"/>
            </w:pPr>
            <w:r>
              <w:t xml:space="preserve">Captures open questions, next steps, decisions, milestones, and tasks.</w:t>
            </w:r>
          </w:p>
        </w:tc>
        <w:tc>
          <w:tcPr/>
          <w:p>
            <w:pPr>
              <w:pStyle w:val="Compact"/>
            </w:pPr>
            <w:r>
              <w:t xml:space="preserve">Partial</w:t>
            </w:r>
          </w:p>
        </w:tc>
      </w:tr>
      <w:tr>
        <w:tc>
          <w:tcPr/>
          <w:p>
            <w:pPr>
              <w:pStyle w:val="Compact"/>
            </w:pPr>
            <w:r>
              <w:t xml:space="preserve">Supplier / third-party AI governance</w:t>
            </w:r>
          </w:p>
        </w:tc>
        <w:tc>
          <w:tcPr/>
          <w:p>
            <w:pPr>
              <w:pStyle w:val="Compact"/>
            </w:pPr>
            <w:r>
              <w:t xml:space="preserve">May identify dependencies, resources, tools, or external systems.</w:t>
            </w:r>
          </w:p>
        </w:tc>
        <w:tc>
          <w:tcPr/>
          <w:p>
            <w:pPr>
              <w:pStyle w:val="Compact"/>
            </w:pPr>
            <w:r>
              <w:t xml:space="preserve">Partial</w:t>
            </w:r>
          </w:p>
        </w:tc>
      </w:tr>
    </w:tbl>
    <w:bookmarkEnd w:id="36"/>
    <w:bookmarkStart w:id="37" w:name="not-covered-by-pmomax-alone"/>
    <w:p>
      <w:pPr>
        <w:pStyle w:val="Heading2"/>
      </w:pPr>
      <w:r>
        <w:t xml:space="preserve">Not Covered by PMOMax Alone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ISO/IEC 42001 readiness area</w:t>
            </w:r>
          </w:p>
        </w:tc>
        <w:tc>
          <w:tcPr/>
          <w:p>
            <w:pPr>
              <w:pStyle w:val="Compact"/>
            </w:pPr>
            <w:r>
              <w:t xml:space="preserve">PMOMax PID support</w:t>
            </w:r>
          </w:p>
        </w:tc>
        <w:tc>
          <w:tcPr/>
          <w:p>
            <w:pPr>
              <w:pStyle w:val="Compact"/>
            </w:pPr>
            <w:r>
              <w:t xml:space="preserve">Coverage</w:t>
            </w:r>
          </w:p>
        </w:tc>
      </w:tr>
      <w:tr>
        <w:tc>
          <w:tcPr/>
          <w:p>
            <w:pPr>
              <w:pStyle w:val="Compact"/>
            </w:pPr>
            <w:r>
              <w:t xml:space="preserve">Complete AIMS policies and procedures</w:t>
            </w:r>
          </w:p>
        </w:tc>
        <w:tc>
          <w:tcPr/>
          <w:p>
            <w:pPr>
              <w:pStyle w:val="Compact"/>
            </w:pPr>
            <w:r>
              <w:t xml:space="preserve">Not provided by the verified PID schema.</w:t>
            </w:r>
          </w:p>
        </w:tc>
        <w:tc>
          <w:tcPr/>
          <w:p>
            <w:pPr>
              <w:pStyle w:val="Compact"/>
            </w:pPr>
            <w:r>
              <w:t xml:space="preserve">Not covered</w:t>
            </w:r>
          </w:p>
        </w:tc>
      </w:tr>
      <w:tr>
        <w:tc>
          <w:tcPr/>
          <w:p>
            <w:pPr>
              <w:pStyle w:val="Compact"/>
            </w:pPr>
            <w:r>
              <w:t xml:space="preserve">Certification readiness determination</w:t>
            </w:r>
          </w:p>
        </w:tc>
        <w:tc>
          <w:tcPr/>
          <w:p>
            <w:pPr>
              <w:pStyle w:val="Compact"/>
            </w:pPr>
            <w:r>
              <w:t xml:space="preserve">Not provided by PMOMax.</w:t>
            </w:r>
          </w:p>
        </w:tc>
        <w:tc>
          <w:tcPr/>
          <w:p>
            <w:pPr>
              <w:pStyle w:val="Compact"/>
            </w:pPr>
            <w:r>
              <w:t xml:space="preserve">Not covered</w:t>
            </w:r>
          </w:p>
        </w:tc>
      </w:tr>
    </w:tbl>
    <w:p>
      <w:pPr>
        <w:pStyle w:val="BodyText"/>
      </w:pPr>
      <w:r>
        <w:t xml:space="preserve">The corresponding CSV file in this package provides a more detailed version of this crosswalk with public-source basis, evidence generated by PMOMax, coverage level, and limitations.</w:t>
      </w:r>
    </w:p>
    <w:bookmarkEnd w:id="37"/>
    <w:bookmarkEnd w:id="38"/>
    <w:bookmarkStart w:id="40" w:name="what-pmomax-does-not-cover"/>
    <w:p>
      <w:pPr>
        <w:pStyle w:val="Heading1"/>
      </w:pPr>
      <w:r>
        <w:t xml:space="preserve">What PMOMax Does Not Cover</w:t>
      </w:r>
    </w:p>
    <w:bookmarkStart w:id="39" w:name="scope-boundaries"/>
    <w:p>
      <w:pPr>
        <w:pStyle w:val="Heading2"/>
      </w:pPr>
      <w:r>
        <w:t xml:space="preserve">Scope Boundaries</w:t>
      </w:r>
    </w:p>
    <w:p>
      <w:pPr>
        <w:pStyle w:val="FirstParagraph"/>
      </w:pPr>
      <w:r>
        <w:t xml:space="preserve">PMOMax should not be positioned as a complete ISO/IEC 42001 solution. The PMOMax PID is a project initiation artifact, not a full management system.</w:t>
      </w:r>
    </w:p>
    <w:p>
      <w:pPr>
        <w:pStyle w:val="BodyText"/>
      </w:pPr>
      <w:r>
        <w:t xml:space="preserve">PMOMax does not cover or replace:</w:t>
      </w:r>
    </w:p>
    <w:p>
      <w:pPr>
        <w:pStyle w:val="Compact"/>
        <w:numPr>
          <w:ilvl w:val="0"/>
          <w:numId w:val="1004"/>
        </w:numPr>
      </w:pPr>
      <w:r>
        <w:t xml:space="preserve">Organization-wide AI policy ownership and full policy lifecycle management.</w:t>
      </w:r>
    </w:p>
    <w:p>
      <w:pPr>
        <w:pStyle w:val="Compact"/>
        <w:numPr>
          <w:ilvl w:val="0"/>
          <w:numId w:val="1004"/>
        </w:numPr>
      </w:pPr>
      <w:r>
        <w:t xml:space="preserve">A complete Artificial Intelligence Management System.</w:t>
      </w:r>
    </w:p>
    <w:p>
      <w:pPr>
        <w:pStyle w:val="Compact"/>
        <w:numPr>
          <w:ilvl w:val="0"/>
          <w:numId w:val="1004"/>
        </w:numPr>
      </w:pPr>
      <w:r>
        <w:t xml:space="preserve">Formal ISO/IEC 42001 internal audit programs.</w:t>
      </w:r>
    </w:p>
    <w:p>
      <w:pPr>
        <w:pStyle w:val="Compact"/>
        <w:numPr>
          <w:ilvl w:val="0"/>
          <w:numId w:val="1004"/>
        </w:numPr>
      </w:pPr>
      <w:r>
        <w:t xml:space="preserve">Certification-body audits or certification decisions.</w:t>
      </w:r>
    </w:p>
    <w:p>
      <w:pPr>
        <w:pStyle w:val="Compact"/>
        <w:numPr>
          <w:ilvl w:val="0"/>
          <w:numId w:val="1004"/>
        </w:numPr>
      </w:pPr>
      <w:r>
        <w:t xml:space="preserve">Management review records.</w:t>
      </w:r>
    </w:p>
    <w:p>
      <w:pPr>
        <w:pStyle w:val="Compact"/>
        <w:numPr>
          <w:ilvl w:val="0"/>
          <w:numId w:val="1004"/>
        </w:numPr>
      </w:pPr>
      <w:r>
        <w:t xml:space="preserve">Corrective action and continual improvement processes.</w:t>
      </w:r>
    </w:p>
    <w:p>
      <w:pPr>
        <w:pStyle w:val="Compact"/>
        <w:numPr>
          <w:ilvl w:val="0"/>
          <w:numId w:val="1004"/>
        </w:numPr>
      </w:pPr>
      <w:r>
        <w:t xml:space="preserve">Complete supplier or third-party AI control assurance.</w:t>
      </w:r>
    </w:p>
    <w:p>
      <w:pPr>
        <w:pStyle w:val="Compact"/>
        <w:numPr>
          <w:ilvl w:val="0"/>
          <w:numId w:val="1004"/>
        </w:numPr>
      </w:pPr>
      <w:r>
        <w:t xml:space="preserve">Complete AI system impact assessment under ISO/IEC 42005.</w:t>
      </w:r>
    </w:p>
    <w:p>
      <w:pPr>
        <w:pStyle w:val="Compact"/>
        <w:numPr>
          <w:ilvl w:val="0"/>
          <w:numId w:val="1004"/>
        </w:numPr>
      </w:pPr>
      <w:r>
        <w:t xml:space="preserve">Complete AI risk management program under ISO/IEC 23894.</w:t>
      </w:r>
    </w:p>
    <w:p>
      <w:pPr>
        <w:pStyle w:val="Compact"/>
        <w:numPr>
          <w:ilvl w:val="0"/>
          <w:numId w:val="1004"/>
        </w:numPr>
      </w:pPr>
      <w:r>
        <w:t xml:space="preserve">Legal, regulatory, privacy, security, employment, sector-specific, or contractual analysis.</w:t>
      </w:r>
    </w:p>
    <w:p>
      <w:pPr>
        <w:pStyle w:val="Compact"/>
        <w:numPr>
          <w:ilvl w:val="0"/>
          <w:numId w:val="1004"/>
        </w:numPr>
      </w:pPr>
      <w:r>
        <w:t xml:space="preserve">Technical model validation, safety evaluation, bias testing, or production monitoring.</w:t>
      </w:r>
    </w:p>
    <w:p>
      <w:pPr>
        <w:pStyle w:val="Compact"/>
        <w:numPr>
          <w:ilvl w:val="0"/>
          <w:numId w:val="1004"/>
        </w:numPr>
      </w:pPr>
      <w:r>
        <w:t xml:space="preserve">Data governance, data quality, model performance, and operational incident records beyond what the PID captures at initiation.</w:t>
      </w:r>
    </w:p>
    <w:p>
      <w:pPr>
        <w:pStyle w:val="Compact"/>
        <w:numPr>
          <w:ilvl w:val="0"/>
          <w:numId w:val="1004"/>
        </w:numPr>
      </w:pPr>
      <w:r>
        <w:t xml:space="preserve">Evidence that an approval actually occurred outside the PID unless supported by the organization’s operational records.</w:t>
      </w:r>
    </w:p>
    <w:p>
      <w:pPr>
        <w:pStyle w:val="FirstParagraph"/>
      </w:pPr>
      <w:r>
        <w:t xml:space="preserve">The correct positioning is that PMOMax can support project-level documented information and governance readiness. It can make early evidence more complete, consistent, and reviewable. It cannot independently determine whether the organization satisfies ISO/IEC 42001.</w:t>
      </w:r>
    </w:p>
    <w:p>
      <w:pPr>
        <w:pStyle w:val="BlockText"/>
      </w:pPr>
      <w:r>
        <w:rPr>
          <w:b/>
          <w:bCs/>
        </w:rPr>
        <w:t xml:space="preserve">Commercially safe language:</w:t>
      </w:r>
      <w:r>
        <w:t xml:space="preserve"> </w:t>
      </w:r>
      <w:r>
        <w:t xml:space="preserve">PMOMax helps teams prepare structured project initiation evidence for governance review. It does not certify, audit, or determine ISO/IEC 42001 compliance.</w:t>
      </w:r>
    </w:p>
    <w:bookmarkEnd w:id="39"/>
    <w:bookmarkEnd w:id="40"/>
    <w:bookmarkStart w:id="42" w:name="Xf4d4a5dafda4c68a1c54e93e5ec8129e474eaa5"/>
    <w:p>
      <w:pPr>
        <w:pStyle w:val="Heading1"/>
      </w:pPr>
      <w:r>
        <w:t xml:space="preserve">How Enterprises Can Use PMOMax in an ISO/IEC 42001 Readiness Workflow</w:t>
      </w:r>
    </w:p>
    <w:bookmarkStart w:id="41" w:name="recommended-workflow"/>
    <w:p>
      <w:pPr>
        <w:pStyle w:val="Heading2"/>
      </w:pPr>
      <w:r>
        <w:t xml:space="preserve">Recommended Workflow</w:t>
      </w:r>
    </w:p>
    <w:p>
      <w:pPr>
        <w:pStyle w:val="FirstParagraph"/>
      </w:pPr>
      <w:r>
        <w:t xml:space="preserve">Enterprises can use PMOMax as part of an ISO/IEC 42001 readiness workflow without overstating its role.</w:t>
      </w:r>
    </w:p>
    <w:p>
      <w:pPr>
        <w:pStyle w:val="BodyText"/>
      </w:pPr>
      <w:r>
        <w:t xml:space="preserve">Recommended workflow:</w:t>
      </w:r>
    </w:p>
    <w:p>
      <w:pPr>
        <w:pStyle w:val="Compact"/>
        <w:numPr>
          <w:ilvl w:val="0"/>
          <w:numId w:val="1005"/>
        </w:numPr>
      </w:pPr>
      <w:r>
        <w:t xml:space="preserve">Identify AI initiatives that require governance review.</w:t>
      </w:r>
    </w:p>
    <w:p>
      <w:pPr>
        <w:pStyle w:val="Compact"/>
        <w:numPr>
          <w:ilvl w:val="0"/>
          <w:numId w:val="1005"/>
        </w:numPr>
      </w:pPr>
      <w:r>
        <w:t xml:space="preserve">Create or import project context into PMOMax.</w:t>
      </w:r>
    </w:p>
    <w:p>
      <w:pPr>
        <w:pStyle w:val="Compact"/>
        <w:numPr>
          <w:ilvl w:val="0"/>
          <w:numId w:val="1005"/>
        </w:numPr>
      </w:pPr>
      <w:r>
        <w:t xml:space="preserve">Generate or refine the PID using PMOMax.</w:t>
      </w:r>
    </w:p>
    <w:p>
      <w:pPr>
        <w:pStyle w:val="Compact"/>
        <w:numPr>
          <w:ilvl w:val="0"/>
          <w:numId w:val="1005"/>
        </w:numPr>
      </w:pPr>
      <w:r>
        <w:t xml:space="preserve">Review scope, intended outcomes, stakeholders, owners, RACI, risks, mitigations, compliance/security/privacy notes, and approval gates.</w:t>
      </w:r>
    </w:p>
    <w:p>
      <w:pPr>
        <w:pStyle w:val="Compact"/>
        <w:numPr>
          <w:ilvl w:val="0"/>
          <w:numId w:val="1005"/>
        </w:numPr>
      </w:pPr>
      <w:r>
        <w:t xml:space="preserve">Export the PID to Word, PDF, or JSON for review.</w:t>
      </w:r>
    </w:p>
    <w:p>
      <w:pPr>
        <w:pStyle w:val="Compact"/>
        <w:numPr>
          <w:ilvl w:val="0"/>
          <w:numId w:val="1005"/>
        </w:numPr>
      </w:pPr>
      <w:r>
        <w:t xml:space="preserve">Use the PID as project-level supporting documentation in AI governance forums, procurement reviews, risk reviews, or ISO/IEC 42001 readiness workshops.</w:t>
      </w:r>
    </w:p>
    <w:p>
      <w:pPr>
        <w:pStyle w:val="Compact"/>
        <w:numPr>
          <w:ilvl w:val="0"/>
          <w:numId w:val="1005"/>
        </w:numPr>
      </w:pPr>
      <w:r>
        <w:t xml:space="preserve">Map the PID output to the organization’s official AIMS documents, control records, risk registers, impact assessments, and approval workflows.</w:t>
      </w:r>
    </w:p>
    <w:p>
      <w:pPr>
        <w:pStyle w:val="Compact"/>
        <w:numPr>
          <w:ilvl w:val="0"/>
          <w:numId w:val="1005"/>
        </w:numPr>
      </w:pPr>
      <w:r>
        <w:t xml:space="preserve">Identify gaps that PMOMax does not cover, such as policy ownership, internal audit, management review, supplier assurance, operational monitoring, and corrective action.</w:t>
      </w:r>
    </w:p>
    <w:p>
      <w:pPr>
        <w:pStyle w:val="Compact"/>
        <w:numPr>
          <w:ilvl w:val="0"/>
          <w:numId w:val="1005"/>
        </w:numPr>
      </w:pPr>
      <w:r>
        <w:t xml:space="preserve">Retain final approved records in the customer’s official document management or governance system.</w:t>
      </w:r>
    </w:p>
    <w:p>
      <w:pPr>
        <w:pStyle w:val="FirstParagraph"/>
      </w:pPr>
      <w:r>
        <w:t xml:space="preserve">This approach preserves the right boundary. PMOMax helps create structured initiation evidence. The organization remains responsible for formal AIMS ownership, approval, retention, control operation, monitoring, and certification readiness.</w:t>
      </w:r>
    </w:p>
    <w:bookmarkEnd w:id="41"/>
    <w:bookmarkEnd w:id="42"/>
    <w:bookmarkStart w:id="44" w:name="X1a806d5c22886de482820832e3424be978173ee"/>
    <w:p>
      <w:pPr>
        <w:pStyle w:val="Heading1"/>
      </w:pPr>
      <w:r>
        <w:t xml:space="preserve">Recommended Use with ISO Consultants, Auditors, and Internal Governance Teams</w:t>
      </w:r>
    </w:p>
    <w:bookmarkStart w:id="43" w:name="collaboration-model"/>
    <w:p>
      <w:pPr>
        <w:pStyle w:val="Heading2"/>
      </w:pPr>
      <w:r>
        <w:t xml:space="preserve">Collaboration Model</w:t>
      </w:r>
    </w:p>
    <w:p>
      <w:pPr>
        <w:pStyle w:val="FirstParagraph"/>
      </w:pPr>
      <w:r>
        <w:t xml:space="preserve">PMOMax PID outputs can be useful in conversations with qualified ISO/IEC 42001 consultants, auditors, certification bodies, and internal governance teams. The recommended use is collaborative and evidence-oriented.</w:t>
      </w:r>
    </w:p>
    <w:p>
      <w:pPr>
        <w:pStyle w:val="BodyText"/>
      </w:pPr>
      <w:r>
        <w:t xml:space="preserve">For ISO consultants, the PID can provide a fast view of project purpose, scope, ownership, risks, mitigations, and governance gaps. This can reduce discovery time and make readiness workshops more concrete.</w:t>
      </w:r>
    </w:p>
    <w:p>
      <w:pPr>
        <w:pStyle w:val="BodyText"/>
      </w:pPr>
      <w:r>
        <w:t xml:space="preserve">For internal auditors, the PID can provide a project initiation record that helps auditors understand what was intended, who owned the project, what risks were identified, what decisions were made, and which approvals were expected. The PID should be supported by actual operational records where audit evidence is required.</w:t>
      </w:r>
    </w:p>
    <w:p>
      <w:pPr>
        <w:pStyle w:val="BodyText"/>
      </w:pPr>
      <w:r>
        <w:t xml:space="preserve">For procurement and customer assurance teams, the PID can show that an AI initiative was initiated with attention to scope, accountability, risk, compliance, privacy, security, lifecycle planning, and oversight. This can support due diligence conversations without claiming certification.</w:t>
      </w:r>
    </w:p>
    <w:p>
      <w:pPr>
        <w:pStyle w:val="BodyText"/>
      </w:pPr>
      <w:r>
        <w:t xml:space="preserve">For AI governance committees, the PID can serve as an intake artifact that standardizes what teams must provide before an AI project moves forward. It can help governance teams compare projects, prioritize reviews, assign owners, and identify incomplete evidence.</w:t>
      </w:r>
    </w:p>
    <w:p>
      <w:pPr>
        <w:pStyle w:val="BodyText"/>
      </w:pPr>
      <w:r>
        <w:t xml:space="preserve">For certification bodies, PMOMax outputs should be treated as supporting artifacts only. Certification decisions depend on the organization’s complete management system and the certification body’s independent assessment.</w:t>
      </w:r>
    </w:p>
    <w:bookmarkEnd w:id="43"/>
    <w:bookmarkEnd w:id="44"/>
    <w:bookmarkStart w:id="45" w:name="references"/>
    <w:p>
      <w:pPr>
        <w:pStyle w:val="Heading1"/>
      </w:pPr>
      <w:r>
        <w:t xml:space="preserve">References</w:t>
      </w:r>
    </w:p>
    <w:p>
      <w:pPr>
        <w:pStyle w:val="FirstParagraph"/>
      </w:pPr>
      <w:r>
        <w:t xml:space="preserve">The following public references were used for high-level framing only:</w:t>
      </w:r>
    </w:p>
    <w:p>
      <w:pPr>
        <w:pStyle w:val="Compact"/>
        <w:numPr>
          <w:ilvl w:val="0"/>
          <w:numId w:val="1006"/>
        </w:numPr>
      </w:pPr>
      <w:r>
        <w:t xml:space="preserve">ISO/IEC 42001 official page: https://www.iso.org/standard/42001</w:t>
      </w:r>
    </w:p>
    <w:p>
      <w:pPr>
        <w:pStyle w:val="Compact"/>
        <w:numPr>
          <w:ilvl w:val="0"/>
          <w:numId w:val="1006"/>
        </w:numPr>
      </w:pPr>
      <w:r>
        <w:t xml:space="preserve">ISO 42001 explained: https://www.iso.org/home/insights-news/resources/iso-42001-explained-what-it-is.html</w:t>
      </w:r>
    </w:p>
    <w:p>
      <w:pPr>
        <w:pStyle w:val="Compact"/>
        <w:numPr>
          <w:ilvl w:val="0"/>
          <w:numId w:val="1006"/>
        </w:numPr>
      </w:pPr>
      <w:r>
        <w:t xml:space="preserve">ISO/IEC 42005 official page: https://www.iso.org/standard/42005</w:t>
      </w:r>
    </w:p>
    <w:p>
      <w:pPr>
        <w:pStyle w:val="Compact"/>
        <w:numPr>
          <w:ilvl w:val="0"/>
          <w:numId w:val="1006"/>
        </w:numPr>
      </w:pPr>
      <w:r>
        <w:t xml:space="preserve">ISO/IEC 23894 official page: https://www.iso.org/standard/77304.html</w:t>
      </w:r>
    </w:p>
    <w:p>
      <w:pPr>
        <w:pStyle w:val="FirstParagraph"/>
      </w:pPr>
      <w:r>
        <w:t xml:space="preserve">This guide does not reproduce the paid ISO/IEC 42001 standard text. Public summaries of ISO/IEC 42001 commonly describe themes around responsible AI governance, risk assessment, impact assessment, documentation, accountability, transparency, and lifecycle monitoring. Any detailed clause or control mapping should be validated against the official standard by qualified professionals.</w:t>
      </w:r>
    </w:p>
    <w:bookmarkEnd w:id="45"/>
    <w:bookmarkStart w:id="46" w:name="disclaimer"/>
    <w:p>
      <w:pPr>
        <w:pStyle w:val="Heading1"/>
      </w:pPr>
      <w:r>
        <w:t xml:space="preserve">Disclaimer</w:t>
      </w:r>
    </w:p>
    <w:p>
      <w:pPr>
        <w:pStyle w:val="FirstParagraph"/>
      </w:pPr>
      <w:r>
        <w:t xml:space="preserve">This guide is informational and intended for enterprise readiness discussions. PMOMax is not represented as ISO/IEC 42001 certified unless a separate, formal certification has been obtained through an appropriate independent certification process.</w:t>
      </w:r>
    </w:p>
    <w:p>
      <w:pPr>
        <w:pStyle w:val="BodyText"/>
      </w:pPr>
      <w:r>
        <w:t xml:space="preserve">PMOMax does not guarantee ISO/IEC 42001 compliance. PMOMax does not replace a complete Artificial Intelligence Management System, internal governance program, risk management process, legal review, compliance review, auditor review, certification-body review, or qualified ISO/IEC 42001 consulting support.</w:t>
      </w:r>
    </w:p>
    <w:p>
      <w:pPr>
        <w:pStyle w:val="BodyText"/>
      </w:pPr>
      <w:r>
        <w:t xml:space="preserve">The PMOMax PID can help structure selected project initiation information that may be useful as supporting documented information for AI governance readiness. Organizations remain responsible for determining whether their policies, processes, controls, records, approvals, monitoring activities, risk treatments, impact assessments, supplier controls, and lifecycle management practices satisfy applicable laws, regulations, contracts, internal policies, and management system requirements.</w:t>
      </w:r>
    </w:p>
    <w:p>
      <w:pPr>
        <w:pStyle w:val="BodyText"/>
      </w:pPr>
      <w:r>
        <w:t xml:space="preserve">This guide is based on public ISO descriptions and related public standard pages. It does not reproduce the paid ISO/IEC 42001 standard text, does not provide legal advice, and does not provide an authoritative interpretation of ISO/IEC 42001. Any clause or control alignment should be validated by qualified professionals using the official standard and the organization’s actual operating context.</w:t>
      </w:r>
    </w:p>
    <w:p>
      <w:pPr>
        <w:pStyle w:val="BodyText"/>
      </w:pPr>
      <w:r>
        <w:t xml:space="preserve">Organizations pursuing ISO/IEC 42001 readiness, internal assurance, customer assurance, or certification should consult qualified ISO/IEC 42001 professionals, internal compliance leadership, legal counsel, auditors, and certification bodies as appropriate.</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PMOMax PID as ISO/IEC 42001 Supporting Documented Information: Alignment Guide</dc:title>
  <dc:creator>Katalyst Street / PMOMax</dc:creator>
  <dc:language>en-US</dc:language>
  <cp:keywords/>
  <dcterms:created xsi:type="dcterms:W3CDTF">2026-05-19T15:44:52Z</dcterms:created>
  <dcterms:modified xsi:type="dcterms:W3CDTF">2026-05-19T15:44:52Z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19, 2026 | Version v1.0</vt:lpwstr>
  </property>
  <property fmtid="{D5CDD505-2E9C-101B-9397-08002B2CF9AE}" pid="3" name="subtitle">
    <vt:lpwstr>A conservative alignment guide for using PMOMax PID outputs as supporting documented information for AI Management System readiness.</vt:lpwstr>
  </property>
  <property fmtid="{D5CDD505-2E9C-101B-9397-08002B2CF9AE}" pid="4" name="version">
    <vt:lpwstr>v1.0</vt:lpwstr>
  </property>
</Properties>
</file>