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54b2daf0cc69c6e3a722723955d61973f5e15f3"/>
    <w:p>
      <w:pPr>
        <w:pStyle w:val="Heading1"/>
      </w:pPr>
      <w:r>
        <w:t xml:space="preserve">PMOMax PID Architect - Master Documentation</w:t>
      </w:r>
    </w:p>
    <w:bookmarkStart w:id="20" w:name="table-of-contents-placeholder"/>
    <w:p>
      <w:pPr>
        <w:pStyle w:val="Heading2"/>
      </w:pPr>
      <w:r>
        <w:t xml:space="preserve">Table of Contents Placeholder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file outlines the intended structure of the master documentation. When chunks are merged, Word will automatically generate a proper TOC with page numbers.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structure-overview"/>
    <w:p>
      <w:pPr>
        <w:pStyle w:val="Heading2"/>
      </w:pPr>
      <w:r>
        <w:t xml:space="preserve">Document Structure Overview</w:t>
      </w:r>
    </w:p>
    <w:p>
      <w:pPr>
        <w:pStyle w:val="FirstParagraph"/>
      </w:pPr>
      <w:r>
        <w:rPr>
          <w:b/>
          <w:bCs/>
        </w:rPr>
        <w:t xml:space="preserve">Total Length:</w:t>
      </w:r>
      <w:r>
        <w:t xml:space="preserve"> </w:t>
      </w:r>
      <w:r>
        <w:t xml:space="preserve">104-130 pages (estimated)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7 chunks merged into single document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2,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1.0.19 (Rev 00031)</w:t>
      </w:r>
    </w:p>
    <w:p>
      <w:r>
        <w:pict>
          <v:rect style="width:0;height:1.5pt" o:hralign="center" o:hrstd="t" o:hr="t"/>
        </w:pict>
      </w:r>
    </w:p>
    <w:bookmarkEnd w:id="21"/>
    <w:bookmarkStart w:id="27" w:name="X328bd6b3e89e5f6532a37b622b7a5b83bd55942"/>
    <w:p>
      <w:pPr>
        <w:pStyle w:val="Heading2"/>
      </w:pPr>
      <w:r>
        <w:t xml:space="preserve">Chunk 01: Executive Overview &amp; Introduction (15-20 pages)</w:t>
      </w:r>
    </w:p>
    <w:bookmarkStart w:id="22" w:name="executive-summary"/>
    <w:p>
      <w:pPr>
        <w:pStyle w:val="Heading3"/>
      </w:pPr>
      <w:r>
        <w:t xml:space="preserve">1. Executive Summary</w:t>
      </w:r>
    </w:p>
    <w:p>
      <w:pPr>
        <w:pStyle w:val="Compact"/>
        <w:numPr>
          <w:ilvl w:val="0"/>
          <w:numId w:val="1001"/>
        </w:numPr>
      </w:pPr>
      <w:r>
        <w:t xml:space="preserve">1.1 Product Overview</w:t>
      </w:r>
    </w:p>
    <w:p>
      <w:pPr>
        <w:pStyle w:val="Compact"/>
        <w:numPr>
          <w:ilvl w:val="0"/>
          <w:numId w:val="1001"/>
        </w:numPr>
      </w:pPr>
      <w:r>
        <w:t xml:space="preserve">1.2 Technology Stack</w:t>
      </w:r>
    </w:p>
    <w:p>
      <w:pPr>
        <w:pStyle w:val="Compact"/>
        <w:numPr>
          <w:ilvl w:val="0"/>
          <w:numId w:val="1001"/>
        </w:numPr>
      </w:pPr>
      <w:r>
        <w:t xml:space="preserve">1.3 Architecture Highlights</w:t>
      </w:r>
    </w:p>
    <w:p>
      <w:pPr>
        <w:pStyle w:val="Compact"/>
        <w:numPr>
          <w:ilvl w:val="0"/>
          <w:numId w:val="1001"/>
        </w:numPr>
      </w:pPr>
      <w:r>
        <w:t xml:space="preserve">1.4 Current Status</w:t>
      </w:r>
    </w:p>
    <w:bookmarkEnd w:id="22"/>
    <w:bookmarkStart w:id="23" w:name="business-case-market-fit"/>
    <w:p>
      <w:pPr>
        <w:pStyle w:val="Heading3"/>
      </w:pPr>
      <w:r>
        <w:t xml:space="preserve">2. Business Case &amp; Market Fit</w:t>
      </w:r>
    </w:p>
    <w:p>
      <w:pPr>
        <w:pStyle w:val="Compact"/>
        <w:numPr>
          <w:ilvl w:val="0"/>
          <w:numId w:val="1002"/>
        </w:numPr>
      </w:pPr>
      <w:r>
        <w:t xml:space="preserve">2.1 Problem Statement</w:t>
      </w:r>
    </w:p>
    <w:p>
      <w:pPr>
        <w:pStyle w:val="Compact"/>
        <w:numPr>
          <w:ilvl w:val="0"/>
          <w:numId w:val="1002"/>
        </w:numPr>
      </w:pPr>
      <w:r>
        <w:t xml:space="preserve">2.2 Solution Approach</w:t>
      </w:r>
    </w:p>
    <w:p>
      <w:pPr>
        <w:pStyle w:val="Compact"/>
        <w:numPr>
          <w:ilvl w:val="0"/>
          <w:numId w:val="1002"/>
        </w:numPr>
      </w:pPr>
      <w:r>
        <w:t xml:space="preserve">2.3 Target Customers</w:t>
      </w:r>
    </w:p>
    <w:p>
      <w:pPr>
        <w:pStyle w:val="Compact"/>
        <w:numPr>
          <w:ilvl w:val="0"/>
          <w:numId w:val="1002"/>
        </w:numPr>
      </w:pPr>
      <w:r>
        <w:t xml:space="preserve">2.4 Competitive Landscape</w:t>
      </w:r>
    </w:p>
    <w:p>
      <w:pPr>
        <w:pStyle w:val="Compact"/>
        <w:numPr>
          <w:ilvl w:val="0"/>
          <w:numId w:val="1002"/>
        </w:numPr>
      </w:pPr>
      <w:r>
        <w:t xml:space="preserve">2.5 Pricing Strategy</w:t>
      </w:r>
    </w:p>
    <w:bookmarkEnd w:id="23"/>
    <w:bookmarkStart w:id="24" w:name="user-experience-workflow"/>
    <w:p>
      <w:pPr>
        <w:pStyle w:val="Heading3"/>
      </w:pPr>
      <w:r>
        <w:t xml:space="preserve">3. User Experience &amp; Workflow</w:t>
      </w:r>
    </w:p>
    <w:p>
      <w:pPr>
        <w:pStyle w:val="Compact"/>
        <w:numPr>
          <w:ilvl w:val="0"/>
          <w:numId w:val="1003"/>
        </w:numPr>
      </w:pPr>
      <w:r>
        <w:t xml:space="preserve">3.1 Typical User Journey</w:t>
      </w:r>
    </w:p>
    <w:p>
      <w:pPr>
        <w:pStyle w:val="Compact"/>
        <w:numPr>
          <w:ilvl w:val="0"/>
          <w:numId w:val="1003"/>
        </w:numPr>
      </w:pPr>
      <w:r>
        <w:t xml:space="preserve">3.2 Key Features</w:t>
      </w:r>
    </w:p>
    <w:p>
      <w:pPr>
        <w:pStyle w:val="Compact"/>
        <w:numPr>
          <w:ilvl w:val="0"/>
          <w:numId w:val="1003"/>
        </w:numPr>
      </w:pPr>
      <w:r>
        <w:t xml:space="preserve">3.3 Accessibility Features (WCAG 2.1 AA Partial)</w:t>
      </w:r>
    </w:p>
    <w:bookmarkEnd w:id="24"/>
    <w:bookmarkStart w:id="25" w:name="compliance-marketplace-readiness"/>
    <w:p>
      <w:pPr>
        <w:pStyle w:val="Heading3"/>
      </w:pPr>
      <w:r>
        <w:t xml:space="preserve">4. Compliance &amp; Marketplace Readiness</w:t>
      </w:r>
    </w:p>
    <w:p>
      <w:pPr>
        <w:pStyle w:val="Compact"/>
        <w:numPr>
          <w:ilvl w:val="0"/>
          <w:numId w:val="1004"/>
        </w:numPr>
      </w:pPr>
      <w:r>
        <w:t xml:space="preserve">4.1 Google Cloud Marketplace Compliance</w:t>
      </w:r>
    </w:p>
    <w:p>
      <w:pPr>
        <w:pStyle w:val="Compact"/>
        <w:numPr>
          <w:ilvl w:val="0"/>
          <w:numId w:val="1004"/>
        </w:numPr>
      </w:pPr>
      <w:r>
        <w:t xml:space="preserve">4.2 Security Posture</w:t>
      </w:r>
    </w:p>
    <w:p>
      <w:pPr>
        <w:pStyle w:val="Compact"/>
        <w:numPr>
          <w:ilvl w:val="0"/>
          <w:numId w:val="1004"/>
        </w:numPr>
      </w:pPr>
      <w:r>
        <w:t xml:space="preserve">4.3 Privacy Compliance</w:t>
      </w:r>
    </w:p>
    <w:p>
      <w:pPr>
        <w:pStyle w:val="Compact"/>
        <w:numPr>
          <w:ilvl w:val="0"/>
          <w:numId w:val="1004"/>
        </w:numPr>
      </w:pPr>
      <w:r>
        <w:t xml:space="preserve">4.4 Legal Framework</w:t>
      </w:r>
    </w:p>
    <w:bookmarkEnd w:id="25"/>
    <w:bookmarkStart w:id="26" w:name="success-metrics-kpis"/>
    <w:p>
      <w:pPr>
        <w:pStyle w:val="Heading3"/>
      </w:pPr>
      <w:r>
        <w:t xml:space="preserve">5. Success Metrics &amp; KPIs</w:t>
      </w:r>
    </w:p>
    <w:p>
      <w:pPr>
        <w:pStyle w:val="Compact"/>
        <w:numPr>
          <w:ilvl w:val="0"/>
          <w:numId w:val="1005"/>
        </w:numPr>
      </w:pPr>
      <w:r>
        <w:t xml:space="preserve">5.1 Product Metrics</w:t>
      </w:r>
    </w:p>
    <w:p>
      <w:pPr>
        <w:pStyle w:val="Compact"/>
        <w:numPr>
          <w:ilvl w:val="0"/>
          <w:numId w:val="1005"/>
        </w:numPr>
      </w:pPr>
      <w:r>
        <w:t xml:space="preserve">5.2 Business Metrics</w:t>
      </w:r>
    </w:p>
    <w:p>
      <w:pPr>
        <w:pStyle w:val="Compact"/>
        <w:numPr>
          <w:ilvl w:val="0"/>
          <w:numId w:val="1005"/>
        </w:numPr>
      </w:pPr>
      <w:r>
        <w:t xml:space="preserve">5.3 Technical Metrics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e8001ce8c6f753405ece2a9908da1a18fe211db"/>
    <w:p>
      <w:pPr>
        <w:pStyle w:val="Heading2"/>
      </w:pPr>
      <w:r>
        <w:t xml:space="preserve">Chunk 02: Architecture &amp; Deployment (12-15 pages)</w:t>
      </w:r>
    </w:p>
    <w:bookmarkStart w:id="28" w:name="system-architecture"/>
    <w:p>
      <w:pPr>
        <w:pStyle w:val="Heading3"/>
      </w:pPr>
      <w:r>
        <w:t xml:space="preserve">6. System Architecture</w:t>
      </w:r>
    </w:p>
    <w:p>
      <w:pPr>
        <w:pStyle w:val="Compact"/>
        <w:numPr>
          <w:ilvl w:val="0"/>
          <w:numId w:val="1006"/>
        </w:numPr>
      </w:pPr>
      <w:r>
        <w:t xml:space="preserve">6.1 High-Level Architecture Diagram</w:t>
      </w:r>
    </w:p>
    <w:p>
      <w:pPr>
        <w:pStyle w:val="Compact"/>
        <w:numPr>
          <w:ilvl w:val="0"/>
          <w:numId w:val="1006"/>
        </w:numPr>
      </w:pPr>
      <w:r>
        <w:t xml:space="preserve">6.2 Component Breakdown</w:t>
      </w:r>
    </w:p>
    <w:p>
      <w:pPr>
        <w:pStyle w:val="Compact"/>
        <w:numPr>
          <w:ilvl w:val="0"/>
          <w:numId w:val="1006"/>
        </w:numPr>
      </w:pPr>
      <w:r>
        <w:t xml:space="preserve">6.3 Data Flow &amp; State Management</w:t>
      </w:r>
    </w:p>
    <w:p>
      <w:pPr>
        <w:pStyle w:val="Compact"/>
        <w:numPr>
          <w:ilvl w:val="0"/>
          <w:numId w:val="1006"/>
        </w:numPr>
      </w:pPr>
      <w:r>
        <w:t xml:space="preserve">6.4 Caching Strategy</w:t>
      </w:r>
    </w:p>
    <w:p>
      <w:pPr>
        <w:pStyle w:val="Compact"/>
        <w:numPr>
          <w:ilvl w:val="0"/>
          <w:numId w:val="1006"/>
        </w:numPr>
      </w:pPr>
      <w:r>
        <w:t xml:space="preserve">6.5 AI Integration (Gemini 2.0 Flash)</w:t>
      </w:r>
    </w:p>
    <w:bookmarkEnd w:id="28"/>
    <w:bookmarkStart w:id="29" w:name="infrastructure-deployment"/>
    <w:p>
      <w:pPr>
        <w:pStyle w:val="Heading3"/>
      </w:pPr>
      <w:r>
        <w:t xml:space="preserve">7. Infrastructure &amp; Deployment</w:t>
      </w:r>
    </w:p>
    <w:p>
      <w:pPr>
        <w:pStyle w:val="Compact"/>
        <w:numPr>
          <w:ilvl w:val="0"/>
          <w:numId w:val="1007"/>
        </w:numPr>
      </w:pPr>
      <w:r>
        <w:t xml:space="preserve">7.1 Google Cloud Run Configuration</w:t>
      </w:r>
    </w:p>
    <w:p>
      <w:pPr>
        <w:pStyle w:val="Compact"/>
        <w:numPr>
          <w:ilvl w:val="0"/>
          <w:numId w:val="1007"/>
        </w:numPr>
      </w:pPr>
      <w:r>
        <w:t xml:space="preserve">7.2 Containerization (Docker)</w:t>
      </w:r>
    </w:p>
    <w:p>
      <w:pPr>
        <w:pStyle w:val="Compact"/>
        <w:numPr>
          <w:ilvl w:val="0"/>
          <w:numId w:val="1007"/>
        </w:numPr>
      </w:pPr>
      <w:r>
        <w:t xml:space="preserve">7.3 CI/CD Pipeline (Cloud Build)</w:t>
      </w:r>
    </w:p>
    <w:p>
      <w:pPr>
        <w:pStyle w:val="Compact"/>
        <w:numPr>
          <w:ilvl w:val="0"/>
          <w:numId w:val="1007"/>
        </w:numPr>
      </w:pPr>
      <w:r>
        <w:t xml:space="preserve">7.4 Environment Variables &amp; Secrets</w:t>
      </w:r>
    </w:p>
    <w:p>
      <w:pPr>
        <w:pStyle w:val="Compact"/>
        <w:numPr>
          <w:ilvl w:val="0"/>
          <w:numId w:val="1007"/>
        </w:numPr>
      </w:pPr>
      <w:r>
        <w:t xml:space="preserve">7.5 Networking &amp; Domain Configuration</w:t>
      </w:r>
    </w:p>
    <w:bookmarkEnd w:id="29"/>
    <w:bookmarkStart w:id="30" w:name="operational-procedures"/>
    <w:p>
      <w:pPr>
        <w:pStyle w:val="Heading3"/>
      </w:pPr>
      <w:r>
        <w:t xml:space="preserve">8. Operational Procedures</w:t>
      </w:r>
    </w:p>
    <w:p>
      <w:pPr>
        <w:pStyle w:val="Compact"/>
        <w:numPr>
          <w:ilvl w:val="0"/>
          <w:numId w:val="1008"/>
        </w:numPr>
      </w:pPr>
      <w:r>
        <w:t xml:space="preserve">8.1 Deployment Process</w:t>
      </w:r>
    </w:p>
    <w:p>
      <w:pPr>
        <w:pStyle w:val="Compact"/>
        <w:numPr>
          <w:ilvl w:val="0"/>
          <w:numId w:val="1008"/>
        </w:numPr>
      </w:pPr>
      <w:r>
        <w:t xml:space="preserve">8.2 Rollback Strategy</w:t>
      </w:r>
    </w:p>
    <w:p>
      <w:pPr>
        <w:pStyle w:val="Compact"/>
        <w:numPr>
          <w:ilvl w:val="0"/>
          <w:numId w:val="1008"/>
        </w:numPr>
      </w:pPr>
      <w:r>
        <w:t xml:space="preserve">8.3 Monitoring &amp; Alerting</w:t>
      </w:r>
    </w:p>
    <w:p>
      <w:pPr>
        <w:pStyle w:val="Compact"/>
        <w:numPr>
          <w:ilvl w:val="0"/>
          <w:numId w:val="1008"/>
        </w:numPr>
      </w:pPr>
      <w:r>
        <w:t xml:space="preserve">8.4 Incident Response</w:t>
      </w:r>
    </w:p>
    <w:p>
      <w:pPr>
        <w:pStyle w:val="Compact"/>
        <w:numPr>
          <w:ilvl w:val="0"/>
          <w:numId w:val="1008"/>
        </w:numPr>
      </w:pPr>
      <w:r>
        <w:t xml:space="preserve">8.5 Backup &amp; Recovery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993993a9f449bf84814ff1984fd7126f97ea967"/>
    <w:p>
      <w:pPr>
        <w:pStyle w:val="Heading2"/>
      </w:pPr>
      <w:r>
        <w:t xml:space="preserve">Chunk 03: Security, Privacy &amp; Compliance (18-22 pages)</w:t>
      </w:r>
    </w:p>
    <w:bookmarkStart w:id="32" w:name="security-architecture"/>
    <w:p>
      <w:pPr>
        <w:pStyle w:val="Heading3"/>
      </w:pPr>
      <w:r>
        <w:t xml:space="preserve">9. Security Architecture</w:t>
      </w:r>
    </w:p>
    <w:p>
      <w:pPr>
        <w:pStyle w:val="Compact"/>
        <w:numPr>
          <w:ilvl w:val="0"/>
          <w:numId w:val="1009"/>
        </w:numPr>
      </w:pPr>
      <w:r>
        <w:t xml:space="preserve">9.1 Threat Model</w:t>
      </w:r>
    </w:p>
    <w:p>
      <w:pPr>
        <w:pStyle w:val="Compact"/>
        <w:numPr>
          <w:ilvl w:val="0"/>
          <w:numId w:val="1009"/>
        </w:numPr>
      </w:pPr>
      <w:r>
        <w:t xml:space="preserve">9.2 Security Controls</w:t>
      </w:r>
    </w:p>
    <w:p>
      <w:pPr>
        <w:pStyle w:val="Compact"/>
        <w:numPr>
          <w:ilvl w:val="0"/>
          <w:numId w:val="1009"/>
        </w:numPr>
      </w:pPr>
      <w:r>
        <w:t xml:space="preserve">9.3 Authentication &amp; Authorization</w:t>
      </w:r>
    </w:p>
    <w:p>
      <w:pPr>
        <w:pStyle w:val="Compact"/>
        <w:numPr>
          <w:ilvl w:val="0"/>
          <w:numId w:val="1009"/>
        </w:numPr>
      </w:pPr>
      <w:r>
        <w:t xml:space="preserve">9.4 Data Protection</w:t>
      </w:r>
    </w:p>
    <w:p>
      <w:pPr>
        <w:pStyle w:val="Compact"/>
        <w:numPr>
          <w:ilvl w:val="0"/>
          <w:numId w:val="1009"/>
        </w:numPr>
      </w:pPr>
      <w:r>
        <w:t xml:space="preserve">9.5 Vulnerability Management</w:t>
      </w:r>
    </w:p>
    <w:bookmarkEnd w:id="32"/>
    <w:bookmarkStart w:id="33" w:name="privacy-data-governance"/>
    <w:p>
      <w:pPr>
        <w:pStyle w:val="Heading3"/>
      </w:pPr>
      <w:r>
        <w:t xml:space="preserve">10. Privacy &amp; Data Governance</w:t>
      </w:r>
    </w:p>
    <w:p>
      <w:pPr>
        <w:pStyle w:val="Compact"/>
        <w:numPr>
          <w:ilvl w:val="0"/>
          <w:numId w:val="1010"/>
        </w:numPr>
      </w:pPr>
      <w:r>
        <w:t xml:space="preserve">10.1 Data Lifecycle</w:t>
      </w:r>
    </w:p>
    <w:p>
      <w:pPr>
        <w:pStyle w:val="Compact"/>
        <w:numPr>
          <w:ilvl w:val="0"/>
          <w:numId w:val="1010"/>
        </w:numPr>
      </w:pPr>
      <w:r>
        <w:t xml:space="preserve">10.2 GDPR Compliance</w:t>
      </w:r>
    </w:p>
    <w:p>
      <w:pPr>
        <w:pStyle w:val="Compact"/>
        <w:numPr>
          <w:ilvl w:val="0"/>
          <w:numId w:val="1010"/>
        </w:numPr>
      </w:pPr>
      <w:r>
        <w:t xml:space="preserve">10.3 CCPA Compliance</w:t>
      </w:r>
    </w:p>
    <w:p>
      <w:pPr>
        <w:pStyle w:val="Compact"/>
        <w:numPr>
          <w:ilvl w:val="0"/>
          <w:numId w:val="1010"/>
        </w:numPr>
      </w:pPr>
      <w:r>
        <w:t xml:space="preserve">10.4 Data Retention Policy</w:t>
      </w:r>
    </w:p>
    <w:p>
      <w:pPr>
        <w:pStyle w:val="Compact"/>
        <w:numPr>
          <w:ilvl w:val="0"/>
          <w:numId w:val="1010"/>
        </w:numPr>
      </w:pPr>
      <w:r>
        <w:t xml:space="preserve">10.5 User Rights (Access, Deletion, Portability)</w:t>
      </w:r>
    </w:p>
    <w:bookmarkEnd w:id="33"/>
    <w:bookmarkStart w:id="34" w:name="compliance-framework"/>
    <w:p>
      <w:pPr>
        <w:pStyle w:val="Heading3"/>
      </w:pPr>
      <w:r>
        <w:t xml:space="preserve">11. Compliance Framework</w:t>
      </w:r>
    </w:p>
    <w:p>
      <w:pPr>
        <w:pStyle w:val="Compact"/>
        <w:numPr>
          <w:ilvl w:val="0"/>
          <w:numId w:val="1011"/>
        </w:numPr>
      </w:pPr>
      <w:r>
        <w:t xml:space="preserve">11.1 GCP Marketplace Requirements</w:t>
      </w:r>
    </w:p>
    <w:p>
      <w:pPr>
        <w:pStyle w:val="Compact"/>
        <w:numPr>
          <w:ilvl w:val="0"/>
          <w:numId w:val="1011"/>
        </w:numPr>
      </w:pPr>
      <w:r>
        <w:t xml:space="preserve">11.2 Accessibility (WCAG 2.1 AA)</w:t>
      </w:r>
    </w:p>
    <w:p>
      <w:pPr>
        <w:pStyle w:val="Compact"/>
        <w:numPr>
          <w:ilvl w:val="0"/>
          <w:numId w:val="1011"/>
        </w:numPr>
      </w:pPr>
      <w:r>
        <w:t xml:space="preserve">11.3 Security Standards (OWASP, CIS)</w:t>
      </w:r>
    </w:p>
    <w:p>
      <w:pPr>
        <w:pStyle w:val="Compact"/>
        <w:numPr>
          <w:ilvl w:val="0"/>
          <w:numId w:val="1011"/>
        </w:numPr>
      </w:pPr>
      <w:r>
        <w:t xml:space="preserve">11.4 Industry Standards (ISO 27001, SOC 2)</w:t>
      </w:r>
    </w:p>
    <w:bookmarkEnd w:id="34"/>
    <w:bookmarkStart w:id="35" w:name="legal-contractual"/>
    <w:p>
      <w:pPr>
        <w:pStyle w:val="Heading3"/>
      </w:pPr>
      <w:r>
        <w:t xml:space="preserve">12. Legal &amp; Contractual</w:t>
      </w:r>
    </w:p>
    <w:p>
      <w:pPr>
        <w:pStyle w:val="Compact"/>
        <w:numPr>
          <w:ilvl w:val="0"/>
          <w:numId w:val="1012"/>
        </w:numPr>
      </w:pPr>
      <w:r>
        <w:t xml:space="preserve">12.1 Privacy Policy (PRIVACY.md)</w:t>
      </w:r>
    </w:p>
    <w:p>
      <w:pPr>
        <w:pStyle w:val="Compact"/>
        <w:numPr>
          <w:ilvl w:val="0"/>
          <w:numId w:val="1012"/>
        </w:numPr>
      </w:pPr>
      <w:r>
        <w:t xml:space="preserve">12.2 Terms of Service (TERMS.md)</w:t>
      </w:r>
    </w:p>
    <w:p>
      <w:pPr>
        <w:pStyle w:val="Compact"/>
        <w:numPr>
          <w:ilvl w:val="0"/>
          <w:numId w:val="1012"/>
        </w:numPr>
      </w:pPr>
      <w:r>
        <w:t xml:space="preserve">12.3 Service Level Agreement (SLA.md)</w:t>
      </w:r>
    </w:p>
    <w:p>
      <w:pPr>
        <w:pStyle w:val="Compact"/>
        <w:numPr>
          <w:ilvl w:val="0"/>
          <w:numId w:val="1012"/>
        </w:numPr>
      </w:pPr>
      <w:r>
        <w:t xml:space="preserve">12.4 Vulnerability Disclosure (VULNERABILITY_POLICY.md)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e8164b5c188999d3ab269c715d02bf72c9cdc46"/>
    <w:p>
      <w:pPr>
        <w:pStyle w:val="Heading2"/>
      </w:pPr>
      <w:r>
        <w:t xml:space="preserve">Chunk 04: API, Billing &amp; Monitoring (15-18 pages)</w:t>
      </w:r>
    </w:p>
    <w:bookmarkStart w:id="37" w:name="api-documentation"/>
    <w:p>
      <w:pPr>
        <w:pStyle w:val="Heading3"/>
      </w:pPr>
      <w:r>
        <w:t xml:space="preserve">13. API Documentation</w:t>
      </w:r>
    </w:p>
    <w:p>
      <w:pPr>
        <w:pStyle w:val="Compact"/>
        <w:numPr>
          <w:ilvl w:val="0"/>
          <w:numId w:val="1013"/>
        </w:numPr>
      </w:pPr>
      <w:r>
        <w:t xml:space="preserve">13.1 OpenAPI 3.0.3 Specification</w:t>
      </w:r>
    </w:p>
    <w:p>
      <w:pPr>
        <w:pStyle w:val="Compact"/>
        <w:numPr>
          <w:ilvl w:val="0"/>
          <w:numId w:val="1013"/>
        </w:numPr>
      </w:pPr>
      <w:r>
        <w:t xml:space="preserve">13.2 Endpoint Reference</w:t>
      </w:r>
    </w:p>
    <w:p>
      <w:pPr>
        <w:pStyle w:val="Compact"/>
        <w:numPr>
          <w:ilvl w:val="1"/>
          <w:numId w:val="1014"/>
        </w:numPr>
      </w:pPr>
      <w:r>
        <w:t xml:space="preserve">13.2.1 POST /v1/parse</w:t>
      </w:r>
    </w:p>
    <w:p>
      <w:pPr>
        <w:pStyle w:val="Compact"/>
        <w:numPr>
          <w:ilvl w:val="1"/>
          <w:numId w:val="1014"/>
        </w:numPr>
      </w:pPr>
      <w:r>
        <w:t xml:space="preserve">13.2.2 POST /v1/assistant</w:t>
      </w:r>
    </w:p>
    <w:p>
      <w:pPr>
        <w:pStyle w:val="Compact"/>
        <w:numPr>
          <w:ilvl w:val="1"/>
          <w:numId w:val="1014"/>
        </w:numPr>
      </w:pPr>
      <w:r>
        <w:t xml:space="preserve">13.2.3 POST /v1/assistant/stream</w:t>
      </w:r>
    </w:p>
    <w:p>
      <w:pPr>
        <w:pStyle w:val="Compact"/>
        <w:numPr>
          <w:ilvl w:val="1"/>
          <w:numId w:val="1014"/>
        </w:numPr>
      </w:pPr>
      <w:r>
        <w:t xml:space="preserve">13.2.4 GET /v1/health</w:t>
      </w:r>
    </w:p>
    <w:p>
      <w:pPr>
        <w:pStyle w:val="Compact"/>
        <w:numPr>
          <w:ilvl w:val="1"/>
          <w:numId w:val="1014"/>
        </w:numPr>
      </w:pPr>
      <w:r>
        <w:t xml:space="preserve">13.2.5 GET /v1/usage</w:t>
      </w:r>
    </w:p>
    <w:p>
      <w:pPr>
        <w:pStyle w:val="Compact"/>
        <w:numPr>
          <w:ilvl w:val="0"/>
          <w:numId w:val="1013"/>
        </w:numPr>
      </w:pPr>
      <w:r>
        <w:t xml:space="preserve">13.3 Request/Response Schemas</w:t>
      </w:r>
    </w:p>
    <w:p>
      <w:pPr>
        <w:pStyle w:val="Compact"/>
        <w:numPr>
          <w:ilvl w:val="0"/>
          <w:numId w:val="1013"/>
        </w:numPr>
      </w:pPr>
      <w:r>
        <w:t xml:space="preserve">13.4 Error Handling</w:t>
      </w:r>
    </w:p>
    <w:p>
      <w:pPr>
        <w:pStyle w:val="Compact"/>
        <w:numPr>
          <w:ilvl w:val="0"/>
          <w:numId w:val="1013"/>
        </w:numPr>
      </w:pPr>
      <w:r>
        <w:t xml:space="preserve">13.5 Rate Limiting</w:t>
      </w:r>
    </w:p>
    <w:bookmarkEnd w:id="37"/>
    <w:bookmarkStart w:id="38" w:name="billing-metering"/>
    <w:p>
      <w:pPr>
        <w:pStyle w:val="Heading3"/>
      </w:pPr>
      <w:r>
        <w:t xml:space="preserve">14. Billing &amp; Metering</w:t>
      </w:r>
    </w:p>
    <w:p>
      <w:pPr>
        <w:pStyle w:val="Compact"/>
        <w:numPr>
          <w:ilvl w:val="0"/>
          <w:numId w:val="1015"/>
        </w:numPr>
      </w:pPr>
      <w:r>
        <w:t xml:space="preserve">14.1 Usage Metrics</w:t>
      </w:r>
    </w:p>
    <w:p>
      <w:pPr>
        <w:pStyle w:val="Compact"/>
        <w:numPr>
          <w:ilvl w:val="0"/>
          <w:numId w:val="1015"/>
        </w:numPr>
      </w:pPr>
      <w:r>
        <w:t xml:space="preserve">14.2 Pricing Model</w:t>
      </w:r>
    </w:p>
    <w:p>
      <w:pPr>
        <w:pStyle w:val="Compact"/>
        <w:numPr>
          <w:ilvl w:val="0"/>
          <w:numId w:val="1015"/>
        </w:numPr>
      </w:pPr>
      <w:r>
        <w:t xml:space="preserve">14.3 GCP Procurement API Integration (Roadmap)</w:t>
      </w:r>
    </w:p>
    <w:p>
      <w:pPr>
        <w:pStyle w:val="Compact"/>
        <w:numPr>
          <w:ilvl w:val="0"/>
          <w:numId w:val="1015"/>
        </w:numPr>
      </w:pPr>
      <w:r>
        <w:t xml:space="preserve">14.4 Cost Optimization</w:t>
      </w:r>
    </w:p>
    <w:bookmarkEnd w:id="38"/>
    <w:bookmarkStart w:id="39" w:name="logging-monitoring"/>
    <w:p>
      <w:pPr>
        <w:pStyle w:val="Heading3"/>
      </w:pPr>
      <w:r>
        <w:t xml:space="preserve">15. Logging &amp; Monitoring</w:t>
      </w:r>
    </w:p>
    <w:p>
      <w:pPr>
        <w:pStyle w:val="Compact"/>
        <w:numPr>
          <w:ilvl w:val="0"/>
          <w:numId w:val="1016"/>
        </w:numPr>
      </w:pPr>
      <w:r>
        <w:t xml:space="preserve">15.1 Structured Logging (Winston)</w:t>
      </w:r>
    </w:p>
    <w:p>
      <w:pPr>
        <w:pStyle w:val="Compact"/>
        <w:numPr>
          <w:ilvl w:val="0"/>
          <w:numId w:val="1016"/>
        </w:numPr>
      </w:pPr>
      <w:r>
        <w:t xml:space="preserve">15.2 Audit Logging</w:t>
      </w:r>
    </w:p>
    <w:p>
      <w:pPr>
        <w:pStyle w:val="Compact"/>
        <w:numPr>
          <w:ilvl w:val="0"/>
          <w:numId w:val="1016"/>
        </w:numPr>
      </w:pPr>
      <w:r>
        <w:t xml:space="preserve">15.3 Health Endpoint</w:t>
      </w:r>
    </w:p>
    <w:p>
      <w:pPr>
        <w:pStyle w:val="Compact"/>
        <w:numPr>
          <w:ilvl w:val="0"/>
          <w:numId w:val="1016"/>
        </w:numPr>
      </w:pPr>
      <w:r>
        <w:t xml:space="preserve">15.4 Metrics Collection</w:t>
      </w:r>
    </w:p>
    <w:p>
      <w:pPr>
        <w:pStyle w:val="Compact"/>
        <w:numPr>
          <w:ilvl w:val="0"/>
          <w:numId w:val="1016"/>
        </w:numPr>
      </w:pPr>
      <w:r>
        <w:t xml:space="preserve">15.5 Alerting Rules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e2a7d01cc89dbe088ed265fbf27f31c6fdfc0ec"/>
    <w:p>
      <w:pPr>
        <w:pStyle w:val="Heading2"/>
      </w:pPr>
      <w:r>
        <w:t xml:space="preserve">Chunk 05: Support, SLA &amp; Accessibility (12-15 pages)</w:t>
      </w:r>
    </w:p>
    <w:bookmarkStart w:id="41" w:name="support-framework"/>
    <w:p>
      <w:pPr>
        <w:pStyle w:val="Heading3"/>
      </w:pPr>
      <w:r>
        <w:t xml:space="preserve">16. Support Framework</w:t>
      </w:r>
    </w:p>
    <w:p>
      <w:pPr>
        <w:pStyle w:val="Compact"/>
        <w:numPr>
          <w:ilvl w:val="0"/>
          <w:numId w:val="1017"/>
        </w:numPr>
      </w:pPr>
      <w:r>
        <w:t xml:space="preserve">16.1 Support Channels</w:t>
      </w:r>
    </w:p>
    <w:p>
      <w:pPr>
        <w:pStyle w:val="Compact"/>
        <w:numPr>
          <w:ilvl w:val="0"/>
          <w:numId w:val="1017"/>
        </w:numPr>
      </w:pPr>
      <w:r>
        <w:t xml:space="preserve">16.2 Response Times</w:t>
      </w:r>
    </w:p>
    <w:p>
      <w:pPr>
        <w:pStyle w:val="Compact"/>
        <w:numPr>
          <w:ilvl w:val="0"/>
          <w:numId w:val="1017"/>
        </w:numPr>
      </w:pPr>
      <w:r>
        <w:t xml:space="preserve">16.3 Severity Classification</w:t>
      </w:r>
    </w:p>
    <w:p>
      <w:pPr>
        <w:pStyle w:val="Compact"/>
        <w:numPr>
          <w:ilvl w:val="0"/>
          <w:numId w:val="1017"/>
        </w:numPr>
      </w:pPr>
      <w:r>
        <w:t xml:space="preserve">16.4 Escalation Procedures</w:t>
      </w:r>
    </w:p>
    <w:p>
      <w:pPr>
        <w:pStyle w:val="Compact"/>
        <w:numPr>
          <w:ilvl w:val="0"/>
          <w:numId w:val="1017"/>
        </w:numPr>
      </w:pPr>
      <w:r>
        <w:t xml:space="preserve">16.5 Support Documentation (SUPPORT.md)</w:t>
      </w:r>
    </w:p>
    <w:bookmarkEnd w:id="41"/>
    <w:bookmarkStart w:id="42" w:name="service-level-agreement"/>
    <w:p>
      <w:pPr>
        <w:pStyle w:val="Heading3"/>
      </w:pPr>
      <w:r>
        <w:t xml:space="preserve">17. Service Level Agreement</w:t>
      </w:r>
    </w:p>
    <w:p>
      <w:pPr>
        <w:pStyle w:val="Compact"/>
        <w:numPr>
          <w:ilvl w:val="0"/>
          <w:numId w:val="1018"/>
        </w:numPr>
      </w:pPr>
      <w:r>
        <w:t xml:space="preserve">17.1 Performance Targets</w:t>
      </w:r>
    </w:p>
    <w:p>
      <w:pPr>
        <w:pStyle w:val="Compact"/>
        <w:numPr>
          <w:ilvl w:val="0"/>
          <w:numId w:val="1018"/>
        </w:numPr>
      </w:pPr>
      <w:r>
        <w:t xml:space="preserve">17.2 Uptime Commitment (99.9%)</w:t>
      </w:r>
    </w:p>
    <w:p>
      <w:pPr>
        <w:pStyle w:val="Compact"/>
        <w:numPr>
          <w:ilvl w:val="0"/>
          <w:numId w:val="1018"/>
        </w:numPr>
      </w:pPr>
      <w:r>
        <w:t xml:space="preserve">17.3 Incident Response SLAs</w:t>
      </w:r>
    </w:p>
    <w:p>
      <w:pPr>
        <w:pStyle w:val="Compact"/>
        <w:numPr>
          <w:ilvl w:val="0"/>
          <w:numId w:val="1018"/>
        </w:numPr>
      </w:pPr>
      <w:r>
        <w:t xml:space="preserve">17.4 Service Credits</w:t>
      </w:r>
    </w:p>
    <w:p>
      <w:pPr>
        <w:pStyle w:val="Compact"/>
        <w:numPr>
          <w:ilvl w:val="0"/>
          <w:numId w:val="1018"/>
        </w:numPr>
      </w:pPr>
      <w:r>
        <w:t xml:space="preserve">17.5 Planned Maintenance</w:t>
      </w:r>
    </w:p>
    <w:bookmarkEnd w:id="42"/>
    <w:bookmarkStart w:id="43" w:name="accessibility-compliance"/>
    <w:p>
      <w:pPr>
        <w:pStyle w:val="Heading3"/>
      </w:pPr>
      <w:r>
        <w:t xml:space="preserve">18. Accessibility Compliance</w:t>
      </w:r>
    </w:p>
    <w:p>
      <w:pPr>
        <w:pStyle w:val="Compact"/>
        <w:numPr>
          <w:ilvl w:val="0"/>
          <w:numId w:val="1019"/>
        </w:numPr>
      </w:pPr>
      <w:r>
        <w:t xml:space="preserve">18.1 WCAG 2.1 Level AA Status (Partial, 89/100)</w:t>
      </w:r>
    </w:p>
    <w:p>
      <w:pPr>
        <w:pStyle w:val="Compact"/>
        <w:numPr>
          <w:ilvl w:val="0"/>
          <w:numId w:val="1019"/>
        </w:numPr>
      </w:pPr>
      <w:r>
        <w:t xml:space="preserve">18.2 Implemented Features</w:t>
      </w:r>
    </w:p>
    <w:p>
      <w:pPr>
        <w:pStyle w:val="Compact"/>
        <w:numPr>
          <w:ilvl w:val="0"/>
          <w:numId w:val="1019"/>
        </w:numPr>
      </w:pPr>
      <w:r>
        <w:t xml:space="preserve">18.3 Known Issues (5 documented)</w:t>
      </w:r>
    </w:p>
    <w:p>
      <w:pPr>
        <w:pStyle w:val="Compact"/>
        <w:numPr>
          <w:ilvl w:val="0"/>
          <w:numId w:val="1019"/>
        </w:numPr>
      </w:pPr>
      <w:r>
        <w:t xml:space="preserve">18.4 Remediation Roadmap (Q1-Q2 2026)</w:t>
      </w:r>
    </w:p>
    <w:p>
      <w:pPr>
        <w:pStyle w:val="Compact"/>
        <w:numPr>
          <w:ilvl w:val="0"/>
          <w:numId w:val="1019"/>
        </w:numPr>
      </w:pPr>
      <w:r>
        <w:t xml:space="preserve">18.5 Testing Methodology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Xa90808ca31468b4984839f9b89251106f000146"/>
    <w:p>
      <w:pPr>
        <w:pStyle w:val="Heading2"/>
      </w:pPr>
      <w:r>
        <w:t xml:space="preserve">Chunk 06: Test Methodology &amp; Results (20-25 pages)</w:t>
      </w:r>
    </w:p>
    <w:bookmarkStart w:id="45" w:name="test-strategy"/>
    <w:p>
      <w:pPr>
        <w:pStyle w:val="Heading3"/>
      </w:pPr>
      <w:r>
        <w:t xml:space="preserve">19. Test Strategy</w:t>
      </w:r>
    </w:p>
    <w:p>
      <w:pPr>
        <w:pStyle w:val="Compact"/>
        <w:numPr>
          <w:ilvl w:val="0"/>
          <w:numId w:val="1020"/>
        </w:numPr>
      </w:pPr>
      <w:r>
        <w:t xml:space="preserve">19.1 Test Scope &amp; Objectives</w:t>
      </w:r>
    </w:p>
    <w:p>
      <w:pPr>
        <w:pStyle w:val="Compact"/>
        <w:numPr>
          <w:ilvl w:val="0"/>
          <w:numId w:val="1020"/>
        </w:numPr>
      </w:pPr>
      <w:r>
        <w:t xml:space="preserve">19.2 Test Suite Configuration (RoadRunner Full Test Suite)</w:t>
      </w:r>
    </w:p>
    <w:p>
      <w:pPr>
        <w:pStyle w:val="Compact"/>
        <w:numPr>
          <w:ilvl w:val="0"/>
          <w:numId w:val="1020"/>
        </w:numPr>
      </w:pPr>
      <w:r>
        <w:t xml:space="preserve">19.3 Gemini 2.0 Flash Integration</w:t>
      </w:r>
    </w:p>
    <w:p>
      <w:pPr>
        <w:pStyle w:val="Compact"/>
        <w:numPr>
          <w:ilvl w:val="0"/>
          <w:numId w:val="1020"/>
        </w:numPr>
      </w:pPr>
      <w:r>
        <w:t xml:space="preserve">19.4 Test Environment</w:t>
      </w:r>
    </w:p>
    <w:bookmarkEnd w:id="45"/>
    <w:bookmarkStart w:id="46" w:name="document-processing-tests"/>
    <w:p>
      <w:pPr>
        <w:pStyle w:val="Heading3"/>
      </w:pPr>
      <w:r>
        <w:t xml:space="preserve">20. Document Processing Tests</w:t>
      </w:r>
    </w:p>
    <w:p>
      <w:pPr>
        <w:pStyle w:val="Compact"/>
        <w:numPr>
          <w:ilvl w:val="0"/>
          <w:numId w:val="1021"/>
        </w:numPr>
      </w:pPr>
      <w:r>
        <w:t xml:space="preserve">20.1 Test Summary (48 documents, 95.8% success)</w:t>
      </w:r>
    </w:p>
    <w:p>
      <w:pPr>
        <w:pStyle w:val="Compact"/>
        <w:numPr>
          <w:ilvl w:val="0"/>
          <w:numId w:val="1021"/>
        </w:numPr>
      </w:pPr>
      <w:r>
        <w:t xml:space="preserve">20.2 Detailed Document Processing Table (48 rows)</w:t>
      </w:r>
    </w:p>
    <w:p>
      <w:pPr>
        <w:pStyle w:val="Compact"/>
        <w:numPr>
          <w:ilvl w:val="0"/>
          <w:numId w:val="1021"/>
        </w:numPr>
      </w:pPr>
      <w:r>
        <w:t xml:space="preserve">20.3 Performance by File Format</w:t>
      </w:r>
    </w:p>
    <w:p>
      <w:pPr>
        <w:pStyle w:val="Compact"/>
        <w:numPr>
          <w:ilvl w:val="0"/>
          <w:numId w:val="1021"/>
        </w:numPr>
      </w:pPr>
      <w:r>
        <w:t xml:space="preserve">20.4 Performance by Document Size</w:t>
      </w:r>
    </w:p>
    <w:p>
      <w:pPr>
        <w:pStyle w:val="Compact"/>
        <w:numPr>
          <w:ilvl w:val="0"/>
          <w:numId w:val="1021"/>
        </w:numPr>
      </w:pPr>
      <w:r>
        <w:t xml:space="preserve">20.5 Error Analysis</w:t>
      </w:r>
    </w:p>
    <w:bookmarkEnd w:id="46"/>
    <w:bookmarkStart w:id="47" w:name="chat-assistant-tests"/>
    <w:p>
      <w:pPr>
        <w:pStyle w:val="Heading3"/>
      </w:pPr>
      <w:r>
        <w:t xml:space="preserve">21. Chat Assistant Tests</w:t>
      </w:r>
    </w:p>
    <w:p>
      <w:pPr>
        <w:pStyle w:val="Compact"/>
        <w:numPr>
          <w:ilvl w:val="0"/>
          <w:numId w:val="1022"/>
        </w:numPr>
      </w:pPr>
      <w:r>
        <w:t xml:space="preserve">21.1 Test Summary (5 queries)</w:t>
      </w:r>
    </w:p>
    <w:p>
      <w:pPr>
        <w:pStyle w:val="Compact"/>
        <w:numPr>
          <w:ilvl w:val="0"/>
          <w:numId w:val="1022"/>
        </w:numPr>
      </w:pPr>
      <w:r>
        <w:t xml:space="preserve">21.2 Latency Analysis (p50: 778ms, p90: 1,090ms)</w:t>
      </w:r>
    </w:p>
    <w:p>
      <w:pPr>
        <w:pStyle w:val="Compact"/>
        <w:numPr>
          <w:ilvl w:val="0"/>
          <w:numId w:val="1022"/>
        </w:numPr>
      </w:pPr>
      <w:r>
        <w:t xml:space="preserve">21.3 Query Complexity Impact</w:t>
      </w:r>
    </w:p>
    <w:p>
      <w:pPr>
        <w:pStyle w:val="Compact"/>
        <w:numPr>
          <w:ilvl w:val="0"/>
          <w:numId w:val="1022"/>
        </w:numPr>
      </w:pPr>
      <w:r>
        <w:t xml:space="preserve">21.4 Streaming vs Non-Streaming</w:t>
      </w:r>
    </w:p>
    <w:bookmarkEnd w:id="47"/>
    <w:bookmarkStart w:id="48" w:name="export-tests"/>
    <w:p>
      <w:pPr>
        <w:pStyle w:val="Heading3"/>
      </w:pPr>
      <w:r>
        <w:t xml:space="preserve">22. Export Tests</w:t>
      </w:r>
    </w:p>
    <w:p>
      <w:pPr>
        <w:pStyle w:val="Compact"/>
        <w:numPr>
          <w:ilvl w:val="0"/>
          <w:numId w:val="1023"/>
        </w:numPr>
      </w:pPr>
      <w:r>
        <w:t xml:space="preserve">22.1 PDF Export Performance</w:t>
      </w:r>
    </w:p>
    <w:p>
      <w:pPr>
        <w:pStyle w:val="Compact"/>
        <w:numPr>
          <w:ilvl w:val="0"/>
          <w:numId w:val="1023"/>
        </w:numPr>
      </w:pPr>
      <w:r>
        <w:t xml:space="preserve">22.2 DOCX Export Performance</w:t>
      </w:r>
    </w:p>
    <w:p>
      <w:pPr>
        <w:pStyle w:val="Compact"/>
        <w:numPr>
          <w:ilvl w:val="0"/>
          <w:numId w:val="1023"/>
        </w:numPr>
      </w:pPr>
      <w:r>
        <w:t xml:space="preserve">22.3 Export Success Rate (100%)</w:t>
      </w:r>
    </w:p>
    <w:bookmarkEnd w:id="48"/>
    <w:bookmarkStart w:id="49" w:name="system-performance"/>
    <w:p>
      <w:pPr>
        <w:pStyle w:val="Heading3"/>
      </w:pPr>
      <w:r>
        <w:t xml:space="preserve">23. System Performance</w:t>
      </w:r>
    </w:p>
    <w:p>
      <w:pPr>
        <w:pStyle w:val="Compact"/>
        <w:numPr>
          <w:ilvl w:val="0"/>
          <w:numId w:val="1024"/>
        </w:numPr>
      </w:pPr>
      <w:r>
        <w:t xml:space="preserve">23.1 Resource Utilization (Memory: 150MB peak)</w:t>
      </w:r>
    </w:p>
    <w:p>
      <w:pPr>
        <w:pStyle w:val="Compact"/>
        <w:numPr>
          <w:ilvl w:val="0"/>
          <w:numId w:val="1024"/>
        </w:numPr>
      </w:pPr>
      <w:r>
        <w:t xml:space="preserve">23.2 Long Tasks Analysis</w:t>
      </w:r>
    </w:p>
    <w:p>
      <w:pPr>
        <w:pStyle w:val="Compact"/>
        <w:numPr>
          <w:ilvl w:val="0"/>
          <w:numId w:val="1024"/>
        </w:numPr>
      </w:pPr>
      <w:r>
        <w:t xml:space="preserve">23.3 Rate Limiting Validation</w:t>
      </w:r>
    </w:p>
    <w:p>
      <w:pPr>
        <w:pStyle w:val="Compact"/>
        <w:numPr>
          <w:ilvl w:val="0"/>
          <w:numId w:val="1024"/>
        </w:numPr>
      </w:pPr>
      <w:r>
        <w:t xml:space="preserve">23.4 Cache Performance</w:t>
      </w:r>
    </w:p>
    <w:bookmarkEnd w:id="49"/>
    <w:bookmarkStart w:id="50" w:name="gemini-2.0-flash-token-economics"/>
    <w:p>
      <w:pPr>
        <w:pStyle w:val="Heading3"/>
      </w:pPr>
      <w:r>
        <w:t xml:space="preserve">24. Gemini 2.0 Flash Token Economics</w:t>
      </w:r>
    </w:p>
    <w:p>
      <w:pPr>
        <w:pStyle w:val="Compact"/>
        <w:numPr>
          <w:ilvl w:val="0"/>
          <w:numId w:val="1025"/>
        </w:numPr>
      </w:pPr>
      <w:r>
        <w:t xml:space="preserve">24.1 Token Efficiency (0.75 tokens/word)</w:t>
      </w:r>
    </w:p>
    <w:p>
      <w:pPr>
        <w:pStyle w:val="Compact"/>
        <w:numPr>
          <w:ilvl w:val="0"/>
          <w:numId w:val="1025"/>
        </w:numPr>
      </w:pPr>
      <w:r>
        <w:t xml:space="preserve">24.2 Cost Comparison (vs GPT-4, Claude)</w:t>
      </w:r>
    </w:p>
    <w:p>
      <w:pPr>
        <w:pStyle w:val="Compact"/>
        <w:numPr>
          <w:ilvl w:val="0"/>
          <w:numId w:val="1025"/>
        </w:numPr>
      </w:pPr>
      <w:r>
        <w:t xml:space="preserve">24.3 Token Distribution by Document Size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5b82ce917613d2693d961dad7ca0da7023d6654"/>
    <w:p>
      <w:pPr>
        <w:pStyle w:val="Heading2"/>
      </w:pPr>
      <w:r>
        <w:t xml:space="preserve">Chunk 07: Risk, Roadmap &amp; Appendices (12-15 pages)</w:t>
      </w:r>
    </w:p>
    <w:bookmarkStart w:id="52" w:name="risk-assessment"/>
    <w:p>
      <w:pPr>
        <w:pStyle w:val="Heading3"/>
      </w:pPr>
      <w:r>
        <w:t xml:space="preserve">25. Risk Assessment</w:t>
      </w:r>
    </w:p>
    <w:p>
      <w:pPr>
        <w:pStyle w:val="Compact"/>
        <w:numPr>
          <w:ilvl w:val="0"/>
          <w:numId w:val="1026"/>
        </w:numPr>
      </w:pPr>
      <w:r>
        <w:t xml:space="preserve">25.1 Technical Risks</w:t>
      </w:r>
    </w:p>
    <w:p>
      <w:pPr>
        <w:pStyle w:val="Compact"/>
        <w:numPr>
          <w:ilvl w:val="0"/>
          <w:numId w:val="1026"/>
        </w:numPr>
      </w:pPr>
      <w:r>
        <w:t xml:space="preserve">25.2 Business Risks</w:t>
      </w:r>
    </w:p>
    <w:p>
      <w:pPr>
        <w:pStyle w:val="Compact"/>
        <w:numPr>
          <w:ilvl w:val="0"/>
          <w:numId w:val="1026"/>
        </w:numPr>
      </w:pPr>
      <w:r>
        <w:t xml:space="preserve">25.3 Compliance Risks</w:t>
      </w:r>
    </w:p>
    <w:p>
      <w:pPr>
        <w:pStyle w:val="Compact"/>
        <w:numPr>
          <w:ilvl w:val="0"/>
          <w:numId w:val="1026"/>
        </w:numPr>
      </w:pPr>
      <w:r>
        <w:t xml:space="preserve">25.4 Mitigation Strategies</w:t>
      </w:r>
    </w:p>
    <w:bookmarkEnd w:id="52"/>
    <w:bookmarkStart w:id="53" w:name="product-roadmap"/>
    <w:p>
      <w:pPr>
        <w:pStyle w:val="Heading3"/>
      </w:pPr>
      <w:r>
        <w:t xml:space="preserve">26. Product Roadmap</w:t>
      </w:r>
    </w:p>
    <w:p>
      <w:pPr>
        <w:pStyle w:val="Compact"/>
        <w:numPr>
          <w:ilvl w:val="0"/>
          <w:numId w:val="1027"/>
        </w:numPr>
      </w:pPr>
      <w:r>
        <w:t xml:space="preserve">26.1 Q1 2026: GCP Procurement API, Monitoring Enhancements</w:t>
      </w:r>
    </w:p>
    <w:p>
      <w:pPr>
        <w:pStyle w:val="Compact"/>
        <w:numPr>
          <w:ilvl w:val="0"/>
          <w:numId w:val="1027"/>
        </w:numPr>
      </w:pPr>
      <w:r>
        <w:t xml:space="preserve">26.2 Q2 2026: Full WCAG 2.1 AA Conformance, Marketplace Launch</w:t>
      </w:r>
    </w:p>
    <w:p>
      <w:pPr>
        <w:pStyle w:val="Compact"/>
        <w:numPr>
          <w:ilvl w:val="0"/>
          <w:numId w:val="1027"/>
        </w:numPr>
      </w:pPr>
      <w:r>
        <w:t xml:space="preserve">26.3 Q3-Q4 2026: OAuth/SSO, SOC 2 Certification</w:t>
      </w:r>
    </w:p>
    <w:p>
      <w:pPr>
        <w:pStyle w:val="Compact"/>
        <w:numPr>
          <w:ilvl w:val="0"/>
          <w:numId w:val="1027"/>
        </w:numPr>
      </w:pPr>
      <w:r>
        <w:t xml:space="preserve">26.4 2027+: Multi-Language Support, Advanced AI Features</w:t>
      </w:r>
    </w:p>
    <w:bookmarkEnd w:id="53"/>
    <w:bookmarkStart w:id="54" w:name="appendices"/>
    <w:p>
      <w:pPr>
        <w:pStyle w:val="Heading3"/>
      </w:pPr>
      <w:r>
        <w:t xml:space="preserve">27. Appendices</w:t>
      </w:r>
    </w:p>
    <w:p>
      <w:pPr>
        <w:pStyle w:val="Compact"/>
        <w:numPr>
          <w:ilvl w:val="0"/>
          <w:numId w:val="1028"/>
        </w:numPr>
      </w:pPr>
      <w:r>
        <w:t xml:space="preserve">27.1 Appendix A: Glossary of Terms</w:t>
      </w:r>
    </w:p>
    <w:p>
      <w:pPr>
        <w:pStyle w:val="Compact"/>
        <w:numPr>
          <w:ilvl w:val="0"/>
          <w:numId w:val="1028"/>
        </w:numPr>
      </w:pPr>
      <w:r>
        <w:t xml:space="preserve">27.2 Appendix B: Acronyms &amp; Abbreviations</w:t>
      </w:r>
    </w:p>
    <w:p>
      <w:pPr>
        <w:pStyle w:val="Compact"/>
        <w:numPr>
          <w:ilvl w:val="0"/>
          <w:numId w:val="1028"/>
        </w:numPr>
      </w:pPr>
      <w:r>
        <w:t xml:space="preserve">27.3 Appendix C: OpenAPI Specification (Full)</w:t>
      </w:r>
    </w:p>
    <w:p>
      <w:pPr>
        <w:pStyle w:val="Compact"/>
        <w:numPr>
          <w:ilvl w:val="0"/>
          <w:numId w:val="1028"/>
        </w:numPr>
      </w:pPr>
      <w:r>
        <w:t xml:space="preserve">27.4 Appendix D: Test Results (Full JSON)</w:t>
      </w:r>
    </w:p>
    <w:p>
      <w:pPr>
        <w:pStyle w:val="Compact"/>
        <w:numPr>
          <w:ilvl w:val="0"/>
          <w:numId w:val="1028"/>
        </w:numPr>
      </w:pPr>
      <w:r>
        <w:t xml:space="preserve">27.5 Appendix E: Gemini 2.0 Flash Configuration</w:t>
      </w:r>
    </w:p>
    <w:p>
      <w:pPr>
        <w:pStyle w:val="Compact"/>
        <w:numPr>
          <w:ilvl w:val="0"/>
          <w:numId w:val="1028"/>
        </w:numPr>
      </w:pPr>
      <w:r>
        <w:t xml:space="preserve">27.6 Appendix F: Deployment Scripts</w:t>
      </w:r>
    </w:p>
    <w:p>
      <w:pPr>
        <w:pStyle w:val="Compact"/>
        <w:numPr>
          <w:ilvl w:val="0"/>
          <w:numId w:val="1028"/>
        </w:numPr>
      </w:pPr>
      <w:r>
        <w:t xml:space="preserve">27.7 Appendix G: Security Headers Configuration</w:t>
      </w:r>
    </w:p>
    <w:p>
      <w:pPr>
        <w:pStyle w:val="Compact"/>
        <w:numPr>
          <w:ilvl w:val="0"/>
          <w:numId w:val="1028"/>
        </w:numPr>
      </w:pPr>
      <w:r>
        <w:t xml:space="preserve">27.8 Appendix H: References &amp; Further Reading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ocument-metadata"/>
    <w:p>
      <w:pPr>
        <w:pStyle w:val="Heading2"/>
      </w:pPr>
      <w:r>
        <w:t xml:space="preserve">Document Metadata</w:t>
      </w:r>
    </w:p>
    <w:p>
      <w:pPr>
        <w:pStyle w:val="FirstParagraph"/>
      </w:pPr>
      <w:r>
        <w:rPr>
          <w:b/>
          <w:bCs/>
        </w:rPr>
        <w:t xml:space="preserve">Document Title:</w:t>
      </w:r>
      <w:r>
        <w:t xml:space="preserve"> </w:t>
      </w:r>
      <w:r>
        <w:t xml:space="preserve">PMOMax PID Architect - Master Documentation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1.0.19 (Rev 00031)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2, 2026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PMOMax Engineering Team</w:t>
      </w:r>
      <w:r>
        <w:br/>
      </w:r>
      <w:r>
        <w:rPr>
          <w:b/>
          <w:bCs/>
        </w:rPr>
        <w:t xml:space="preserve">Reviewers:</w:t>
      </w:r>
      <w:r>
        <w:t xml:space="preserve"> </w:t>
      </w:r>
      <w:r>
        <w:t xml:space="preserve">Compliance Team, Security Team, Product Management</w:t>
      </w:r>
      <w:r>
        <w:br/>
      </w:r>
      <w:r>
        <w:rPr>
          <w:b/>
          <w:bCs/>
        </w:rPr>
        <w:t xml:space="preserve">Approvers:</w:t>
      </w:r>
      <w:r>
        <w:t xml:space="preserve"> </w:t>
      </w:r>
      <w:r>
        <w:t xml:space="preserve">CTO, VP Engineering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Public (for GCP Marketplace)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GCP Marketplace reviewers, customers, partners, internal teams</w:t>
      </w:r>
    </w:p>
    <w:p>
      <w:pPr>
        <w:pStyle w:val="BodyText"/>
      </w:pPr>
      <w:r>
        <w:rPr>
          <w:b/>
          <w:bCs/>
        </w:rPr>
        <w:t xml:space="preserve">Change History:</w:t>
      </w:r>
      <w:r>
        <w:t xml:space="preserve"> </w:t>
      </w:r>
      <w:r>
        <w:t xml:space="preserve">- v1.0.19 (Jan 2, 2026): Updated for 2026 release, aligned with marketplace attestation and final docs set</w:t>
      </w:r>
      <w:r>
        <w:t xml:space="preserve"> </w:t>
      </w:r>
      <w:r>
        <w:t xml:space="preserve">- v1.0.18 (Nov 25, 2025): Initial comprehensive documentation with Gemini 2.0 Flash test results</w:t>
      </w:r>
      <w:r>
        <w:t xml:space="preserve"> </w:t>
      </w:r>
      <w:r>
        <w:t xml:space="preserve">- v1.0.17 (Nov 24, 2025): Added OpenAPI spec, Accessibility statement, Vulnerability policy</w:t>
      </w:r>
      <w:r>
        <w:t xml:space="preserve"> </w:t>
      </w:r>
      <w:r>
        <w:t xml:space="preserve">- v1.0.16 (Nov 22, 2025): Added PRIVACY, TERMS, SLA, SUPPORT documentation</w:t>
      </w:r>
      <w:r>
        <w:t xml:space="preserve"> </w:t>
      </w:r>
      <w:r>
        <w:t xml:space="preserve">- v1.0.15 (Nov 20, 2025): Initial compliance implementation (logging, rate limiting, metering)</w:t>
      </w:r>
    </w:p>
    <w:p>
      <w:r>
        <w:pict>
          <v:rect style="width:0;height:1.5pt" o:hralign="center" o:hrstd="t" o:hr="t"/>
        </w:pict>
      </w:r>
    </w:p>
    <w:bookmarkEnd w:id="56"/>
    <w:bookmarkStart w:id="57" w:name="how-to-use-this-toc"/>
    <w:p>
      <w:pPr>
        <w:pStyle w:val="Heading2"/>
      </w:pPr>
      <w:r>
        <w:t xml:space="preserve">How to Use This TOC</w:t>
      </w:r>
    </w:p>
    <w:p>
      <w:pPr>
        <w:pStyle w:val="FirstParagraph"/>
      </w:pPr>
      <w:r>
        <w:rPr>
          <w:b/>
          <w:bCs/>
        </w:rPr>
        <w:t xml:space="preserve">For Readers:</w:t>
      </w:r>
      <w:r>
        <w:t xml:space="preserve"> </w:t>
      </w:r>
      <w:r>
        <w:t xml:space="preserve">1. Use this TOC to navigate to specific sections of interest</w:t>
      </w:r>
      <w:r>
        <w:t xml:space="preserve"> </w:t>
      </w:r>
      <w:r>
        <w:t xml:space="preserve">2. Page numbers will be automatically added when chunks are merged in Word</w:t>
      </w:r>
      <w:r>
        <w:t xml:space="preserve"> </w:t>
      </w:r>
      <w:r>
        <w:t xml:space="preserve">3. Hyperlinks in Word TOC will allow quick jumping to sections</w:t>
      </w:r>
    </w:p>
    <w:p>
      <w:pPr>
        <w:pStyle w:val="BodyText"/>
      </w:pPr>
      <w:r>
        <w:rPr>
          <w:b/>
          <w:bCs/>
        </w:rPr>
        <w:t xml:space="preserve">For Document Maintainers:</w:t>
      </w:r>
      <w:r>
        <w:t xml:space="preserve"> </w:t>
      </w:r>
      <w:r>
        <w:t xml:space="preserve">1. This TOC structure should be maintained when updating chunks</w:t>
      </w:r>
      <w:r>
        <w:t xml:space="preserve"> </w:t>
      </w:r>
      <w:r>
        <w:t xml:space="preserve">2. Add new sections to this placeholder when creating new content</w:t>
      </w:r>
      <w:r>
        <w:t xml:space="preserve"> </w:t>
      </w:r>
      <w:r>
        <w:t xml:space="preserve">3. Keep section numbering consistent across all chunks</w:t>
      </w:r>
      <w:r>
        <w:t xml:space="preserve"> </w:t>
      </w:r>
      <w:r>
        <w:t xml:space="preserve">4. Update version history when making significant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This is a placeholder file. The actual Table of Contents will be auto-generated by Microsoft Word when the 7 chunks are merged using the instructions in</w:t>
      </w:r>
      <w:r>
        <w:t xml:space="preserve"> </w:t>
      </w:r>
      <w:r>
        <w:rPr>
          <w:rStyle w:val="VerbatimChar"/>
        </w:rPr>
        <w:t xml:space="preserve">merge_docx_instructions.txt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After GCP Marketplace listing approval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2026-01-02T22:12:32Z</dcterms:created>
  <dcterms:modified xsi:type="dcterms:W3CDTF">2026-01-02T22:12:32Z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