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Friday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May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8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9</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10</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