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56"/>
        </w:rPr>
        <w:t>MILAN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AN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CC2222"/>
          <w:sz w:val="18"/>
        </w:rPr>
        <w:t>DESCRIPCIÓN</w:t>
      </w:r>
    </w:p>
    <w:p>
      <w:r>
        <w:rPr>
          <w:sz w:val="20"/>
        </w:rPr>
        <w:t>Planta indeterminada con alta carga de frutos por planta (3–7 por racimo). Excelente vida larga de anaquel y amplia resistencia a enfermedades. Destacada productividad en condiciones tropicales.</w:t>
      </w:r>
    </w:p>
    <w:p/>
    <w:p>
      <w:r>
        <w:rPr>
          <w:b/>
          <w:color w:val="CC2222"/>
          <w:sz w:val="18"/>
        </w:rPr>
        <w:t>CARACTERÍSTICAS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Altura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1.8 metros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Racimos/planta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 – 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Frutos/racimo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 – 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promedio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250 – 300 g</w:t>
            </w:r>
          </w:p>
        </w:tc>
      </w:tr>
    </w:tbl>
    <w:p/>
    <w:p>
      <w:r>
        <w:rPr>
          <w:b/>
          <w:color w:val="5EBA45"/>
          <w:sz w:val="18"/>
        </w:rPr>
        <w:t>RESISTENCIAS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color w:val="444444"/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color w:val="444444"/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color w:val="444444"/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color w:val="444444"/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color w:val="444444"/>
                <w:sz w:val="16"/>
              </w:rPr>
              <w:t>Verticillium dahliae</w:t>
            </w:r>
          </w:p>
        </w:tc>
        <w:tc>
          <w:tcPr>
            <w:tcW w:type="dxa" w:w="4986"/>
          </w:tcPr>
          <w:p/>
        </w:tc>
      </w:tr>
    </w:tbl>
    <w:p/>
    <w:p>
      <w:r>
        <w:rPr>
          <w:b/>
          <w:color w:val="CC2222"/>
          <w:sz w:val="18"/>
        </w:rPr>
        <w:t>GALERÍA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883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0.11.54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88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84198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0.11.53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8419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317343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0.15.11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173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0.15.13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16"/>
        </w:rPr>
        <w:t>SEMILLAS DGR S.A.</w:t>
      </w:r>
    </w:p>
    <w:p>
      <w:r>
        <w:rPr>
          <w:sz w:val="15"/>
        </w:rPr>
        <w:t>Edificio Ribleh, San Antonio de Belén, Heredia — Local 5</w:t>
        <w:br/>
        <w:t>semillasdgrsa@gmail.com  |  +506 8820-4170  |  +506 7053-6966</w:t>
        <w:br/>
        <w:t>semillasdgr-cr.com  |  @semillasdgr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