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EBA45"/>
          <w:sz w:val="16"/>
        </w:rPr>
        <w:t>PORTAINJERTO</w:t>
      </w:r>
    </w:p>
    <w:p>
      <w:pPr>
        <w:pStyle w:val="Heading1"/>
      </w:pPr>
      <w:r>
        <w:rPr>
          <w:color w:val="0A0A0A"/>
          <w:sz w:val="56"/>
        </w:rPr>
        <w:t>PATRÓN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INJERTO PATRO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Excelente alternativa para cultivar en suelos con problemas de hongos patógenos y nemátodos. Sistema radicular eficiente con alta capacidad de absorción de nutrientes y tolerancia a estreses abióticos: pH, salinidad y bajas temperaturas.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Uso recomendado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Suelos con hongos y nemátodos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Beneficio clave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Sistema radicular eficiente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Tolerancias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pH, salinidad, frío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Bacteria  </w:t>
            </w:r>
            <w:r>
              <w:rPr>
                <w:color w:val="444444"/>
                <w:sz w:val="16"/>
              </w:rPr>
              <w:t>Clavibacter michiganensis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color w:val="444444"/>
                <w:sz w:val="16"/>
              </w:rPr>
              <w:t>Fusarium radicis-lycopersici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2030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41.26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203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6752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41.27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675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41.45 (1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6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45.5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