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Thermodynamic Selection of Labor: An Entropy-Production Account of AI-Driven Job Displacement</w:t>
      </w:r>
    </w:p>
    <w:p>
      <w:pPr>
        <w:pStyle w:val="Date"/>
      </w:pPr>
      <w:r>
        <w:t xml:space="preserve">2026-05-10</w:t>
      </w:r>
    </w:p>
    <w:p>
      <w:pPr>
        <w:pStyle w:val="AbstractTitle"/>
      </w:pPr>
      <w:r>
        <w:t xml:space="preserve">Abstract</w:t>
      </w:r>
    </w:p>
    <w:p>
      <w:pPr>
        <w:pStyle w:val="Abstract"/>
      </w:pPr>
      <w:r>
        <w:t xml:space="preserve">We propose a thermodynamic reframing of the empirical phenomenon of</w:t>
      </w:r>
      <w:r>
        <w:t xml:space="preserve"> </w:t>
      </w:r>
      <w:r>
        <w:t xml:space="preserve">AI-driven labor displacement. Existing models of automation exposure</w:t>
      </w:r>
      <w:r>
        <w:t xml:space="preserve"> </w:t>
      </w:r>
      <w:r>
        <w:t xml:space="preserve">(Acemoglu and Restrepo 2020; Eloundou et al. 2023) explain which</w:t>
      </w:r>
      <w:r>
        <w:t xml:space="preserve"> </w:t>
      </w:r>
      <w:r>
        <w:t xml:space="preserve">occupations are technically substitutable, but leave residual variation</w:t>
      </w:r>
      <w:r>
        <w:t xml:space="preserve"> </w:t>
      </w:r>
      <w:r>
        <w:t xml:space="preserve">in the</w:t>
      </w:r>
      <w:r>
        <w:t xml:space="preserve"> </w:t>
      </w:r>
      <w:r>
        <w:rPr>
          <w:i/>
          <w:iCs/>
        </w:rPr>
        <w:t xml:space="preserve">speed</w:t>
      </w:r>
      <w:r>
        <w:t xml:space="preserve"> </w:t>
      </w:r>
      <w:r>
        <w:t xml:space="preserve">of substitution. We hypothesise that this residual</w:t>
      </w:r>
      <w:r>
        <w:t xml:space="preserve"> </w:t>
      </w:r>
      <w:r>
        <w:t xml:space="preserve">variation is partially predicted by entropy-production asymmetry (EPA)</w:t>
      </w:r>
      <w:r>
        <w:t xml:space="preserve"> </w:t>
      </w:r>
      <w:r>
        <w:t xml:space="preserve">— the difference in energetic dissipation between a human performing a</w:t>
      </w:r>
      <w:r>
        <w:t xml:space="preserve"> </w:t>
      </w:r>
      <w:r>
        <w:t xml:space="preserve">task and an AI substitute performing the equivalent task. Building on</w:t>
      </w:r>
      <w:r>
        <w:t xml:space="preserve"> </w:t>
      </w:r>
      <w:r>
        <w:t xml:space="preserve">the Maximum Entropy Production Principle (Kleidon 2010; Martyushev and</w:t>
      </w:r>
      <w:r>
        <w:t xml:space="preserve"> </w:t>
      </w:r>
      <w:r>
        <w:t xml:space="preserve">Seleznev 2006) and on Jeremy England’s dissipative-adaptation programme</w:t>
      </w:r>
      <w:r>
        <w:t xml:space="preserve"> </w:t>
      </w:r>
      <w:r>
        <w:t xml:space="preserve">(England 2013, 2015), we argue that occupations with a larger EPA are</w:t>
      </w:r>
      <w:r>
        <w:t xml:space="preserve"> </w:t>
      </w:r>
      <w:r>
        <w:t xml:space="preserve">displaced earlier under MEPP-consistent selection. We provide an</w:t>
      </w:r>
      <w:r>
        <w:t xml:space="preserve"> </w:t>
      </w:r>
      <w:r>
        <w:t xml:space="preserve">operational definition of EPA based on metabolic-equivalent ratings</w:t>
      </w:r>
      <w:r>
        <w:t xml:space="preserve"> </w:t>
      </w:r>
      <w:r>
        <w:t xml:space="preserve">(O*NET / Ainsworth Compendium) and published AI energy footprints,</w:t>
      </w:r>
      <w:r>
        <w:t xml:space="preserve"> </w:t>
      </w:r>
      <w:r>
        <w:t xml:space="preserve">sketch a regression strategy using BLS occupational data for 2019–2025,</w:t>
      </w:r>
      <w:r>
        <w:t xml:space="preserve"> </w:t>
      </w:r>
      <w:r>
        <w:t xml:space="preserve">and illustrate the framework with a case-study comparison of</w:t>
      </w:r>
      <w:r>
        <w:t xml:space="preserve"> </w:t>
      </w:r>
      <w:r>
        <w:t xml:space="preserve">call-center work and skilled trades. The cosmological proposals of</w:t>
      </w:r>
      <w:r>
        <w:t xml:space="preserve"> </w:t>
      </w:r>
      <w:r>
        <w:t xml:space="preserve">Smolin (1992) and Crane (1994) inspire but do not constrain the</w:t>
      </w:r>
      <w:r>
        <w:t xml:space="preserve"> </w:t>
      </w:r>
      <w:r>
        <w:t xml:space="preserve">empirical claim. We conclude with policy implications for redistribution</w:t>
      </w:r>
      <w:r>
        <w:t xml:space="preserve"> </w:t>
      </w:r>
      <w:r>
        <w:t xml:space="preserve">and for the regulation of AI energy consumption.</w:t>
      </w:r>
    </w:p>
    <w:bookmarkStart w:id="9" w:name="introduction"/>
    <w:p>
      <w:pPr>
        <w:pStyle w:val="Heading1"/>
      </w:pPr>
      <w:r>
        <w:t xml:space="preserve">1. Introduction</w:t>
      </w:r>
    </w:p>
    <w:p>
      <w:pPr>
        <w:pStyle w:val="FirstParagraph"/>
      </w:pPr>
      <w:r>
        <w:t xml:space="preserve">The displacement of human labor by artificial intelligence is usually framed as</w:t>
      </w:r>
      <w:r>
        <w:t xml:space="preserve"> </w:t>
      </w:r>
      <w:r>
        <w:t xml:space="preserve">an engineering question: which tasks are technically automatable, and which are</w:t>
      </w:r>
      <w:r>
        <w:t xml:space="preserve"> </w:t>
      </w:r>
      <w:r>
        <w:t xml:space="preserve">not? Recent assessments</w:t>
      </w:r>
      <w:r>
        <w:t xml:space="preserve"> </w:t>
      </w:r>
      <w:r>
        <w:t xml:space="preserve">(Eloundou et al. 2023; Goldman Sachs Economics Research 2023)</w:t>
      </w:r>
      <w:r>
        <w:t xml:space="preserve"> </w:t>
      </w:r>
      <w:r>
        <w:t xml:space="preserve">suggest that</w:t>
      </w:r>
      <w:r>
        <w:t xml:space="preserve"> </w:t>
      </w:r>
      <w:r>
        <w:t xml:space="preserve">approximately 80 % of the United States workforce is exposed to large-language-</w:t>
      </w:r>
      <w:r>
        <w:t xml:space="preserve"> </w:t>
      </w:r>
      <w:r>
        <w:t xml:space="preserve">model–driven automation, and that some 300 million jobs may be affected</w:t>
      </w:r>
      <w:r>
        <w:t xml:space="preserve"> </w:t>
      </w:r>
      <w:r>
        <w:t xml:space="preserve">globally. Existing models of automation exposure typically rest on task</w:t>
      </w:r>
      <w:r>
        <w:t xml:space="preserve"> </w:t>
      </w:r>
      <w:r>
        <w:t xml:space="preserve">decompositions and on AI capability benchmarks</w:t>
      </w:r>
      <w:r>
        <w:t xml:space="preserve"> </w:t>
      </w:r>
      <w:r>
        <w:t xml:space="preserve">(Acemoglu and Restrepo 2020)</w:t>
      </w:r>
      <w:r>
        <w:t xml:space="preserve">.</w:t>
      </w:r>
    </w:p>
    <w:p>
      <w:pPr>
        <w:pStyle w:val="BodyText"/>
      </w:pPr>
      <w:r>
        <w:t xml:space="preserve">This paper proposes a complementary lens. Rather than asking</w:t>
      </w:r>
      <w:r>
        <w:t xml:space="preserve"> </w:t>
      </w:r>
      <w:r>
        <w:rPr>
          <w:i/>
          <w:iCs/>
        </w:rPr>
        <w:t xml:space="preserve">what AI can do</w:t>
      </w:r>
      <w:r>
        <w:t xml:space="preserve">,</w:t>
      </w:r>
      <w:r>
        <w:t xml:space="preserve"> </w:t>
      </w:r>
      <w:r>
        <w:t xml:space="preserve">we ask</w:t>
      </w:r>
      <w:r>
        <w:t xml:space="preserve"> </w:t>
      </w:r>
      <w:r>
        <w:rPr>
          <w:i/>
          <w:iCs/>
        </w:rPr>
        <w:t xml:space="preserve">what AI does to the entropy budget</w:t>
      </w:r>
      <w:r>
        <w:t xml:space="preserve"> </w:t>
      </w:r>
      <w:r>
        <w:t xml:space="preserve">of the economic systems in which it</w:t>
      </w:r>
      <w:r>
        <w:t xml:space="preserve"> </w:t>
      </w:r>
      <w:r>
        <w:t xml:space="preserve">is embedded. Building on the Maximum Entropy Production Principle (MEPP)</w:t>
      </w:r>
      <w:r>
        <w:t xml:space="preserve"> </w:t>
      </w:r>
      <w:r>
        <w:t xml:space="preserve">(Kleidon 2010; Martyushev and Seleznev 2006)</w:t>
      </w:r>
      <w:r>
        <w:t xml:space="preserve">, on the dissipative-</w:t>
      </w:r>
      <w:r>
        <w:t xml:space="preserve"> </w:t>
      </w:r>
      <w:r>
        <w:t xml:space="preserve">adaptation account of biological evolution</w:t>
      </w:r>
      <w:r>
        <w:t xml:space="preserve"> </w:t>
      </w:r>
      <w:r>
        <w:t xml:space="preserve">(England 2013; Perunov et al. 2016)</w:t>
      </w:r>
      <w:r>
        <w:t xml:space="preserve">, and on recent measurements of the energy footprint of</w:t>
      </w:r>
      <w:r>
        <w:t xml:space="preserve"> </w:t>
      </w:r>
      <w:r>
        <w:t xml:space="preserve">large AI models</w:t>
      </w:r>
      <w:r>
        <w:t xml:space="preserve"> </w:t>
      </w:r>
      <w:r>
        <w:t xml:space="preserve">(Vries 2023; International Energy Agency 2024; Patterson et al. 2021)</w:t>
      </w:r>
      <w:r>
        <w:t xml:space="preserve">,</w:t>
      </w:r>
      <w:r>
        <w:t xml:space="preserve"> </w:t>
      </w:r>
      <w:r>
        <w:t xml:space="preserve">we develop a hypothesis that we call</w:t>
      </w:r>
      <w:r>
        <w:t xml:space="preserve"> </w:t>
      </w:r>
      <w:r>
        <w:rPr>
          <w:b/>
          <w:bCs/>
        </w:rPr>
        <w:t xml:space="preserve">entropy-production asymmetry (EPA)</w:t>
      </w:r>
      <w:r>
        <w:t xml:space="preserve">: the</w:t>
      </w:r>
      <w:r>
        <w:t xml:space="preserve"> </w:t>
      </w:r>
      <w:r>
        <w:t xml:space="preserve">temporal order in which AI displaces a given occupation is partially predicted</w:t>
      </w:r>
      <w:r>
        <w:t xml:space="preserve"> </w:t>
      </w:r>
      <w:r>
        <w:t xml:space="preserve">by the</w:t>
      </w:r>
      <w:r>
        <w:t xml:space="preserve"> </w:t>
      </w:r>
      <w:r>
        <w:rPr>
          <w:i/>
          <w:iCs/>
        </w:rPr>
        <w:t xml:space="preserve">magnitude of the entropy-production gap</w:t>
      </w:r>
      <w:r>
        <w:t xml:space="preserve"> </w:t>
      </w:r>
      <w:r>
        <w:t xml:space="preserve">between a human worker and an</w:t>
      </w:r>
      <w:r>
        <w:t xml:space="preserve"> </w:t>
      </w:r>
      <w:r>
        <w:t xml:space="preserve">AI substitute performing the same task.</w:t>
      </w:r>
    </w:p>
    <w:p>
      <w:pPr>
        <w:pStyle w:val="BodyText"/>
      </w:pPr>
      <w:r>
        <w:t xml:space="preserve">We make no metaphysical commitment about cosmological purpose. Speculative</w:t>
      </w:r>
      <w:r>
        <w:t xml:space="preserve"> </w:t>
      </w:r>
      <w:r>
        <w:t xml:space="preserve">cosmological proposals — Smolin’s Cosmological Natural Selection</w:t>
      </w:r>
      <w:r>
        <w:t xml:space="preserve"> </w:t>
      </w:r>
      <w:r>
        <w:t xml:space="preserve">(Smolin 1992)</w:t>
      </w:r>
      <w:r>
        <w:t xml:space="preserve"> </w:t>
      </w:r>
      <w:r>
        <w:t xml:space="preserve">and Crane’s Meduso-anthropic Principle</w:t>
      </w:r>
      <w:r>
        <w:t xml:space="preserve"> </w:t>
      </w:r>
      <w:r>
        <w:t xml:space="preserve">(Crane 1994)</w:t>
      </w:r>
      <w:r>
        <w:t xml:space="preserve"> </w:t>
      </w:r>
      <w:r>
        <w:t xml:space="preserve">—</w:t>
      </w:r>
      <w:r>
        <w:t xml:space="preserve"> </w:t>
      </w:r>
      <w:r>
        <w:t xml:space="preserve">appear in our motivation only. The empirical claim of this paper is restricted</w:t>
      </w:r>
      <w:r>
        <w:t xml:space="preserve"> </w:t>
      </w:r>
      <w:r>
        <w:t xml:space="preserve">to a falsifiable correlation in labor-market data. Section 2 sets out the</w:t>
      </w:r>
      <w:r>
        <w:t xml:space="preserve"> </w:t>
      </w:r>
      <w:r>
        <w:t xml:space="preserve">theoretical framework. Section 3 states four nested hypotheses, of which only</w:t>
      </w:r>
      <w:r>
        <w:t xml:space="preserve"> </w:t>
      </w:r>
      <w:r>
        <w:t xml:space="preserve">the last (H4) is the empirical contribution. Section 4 proposes an operational</w:t>
      </w:r>
      <w:r>
        <w:t xml:space="preserve"> </w:t>
      </w:r>
      <w:r>
        <w:t xml:space="preserve">definition of</w:t>
      </w:r>
      <w:r>
        <w:t xml:space="preserve"> </w:t>
      </w:r>
      <w:r>
        <w:t xml:space="preserve">“occupational entropy production”</w:t>
      </w:r>
      <w:r>
        <w:t xml:space="preserve">. Section 5 sketches an empirical</w:t>
      </w:r>
      <w:r>
        <w:t xml:space="preserve"> </w:t>
      </w:r>
      <w:r>
        <w:t xml:space="preserve">test using O*NET and BLS data. Section 6 illustrates the framework with a case</w:t>
      </w:r>
      <w:r>
        <w:t xml:space="preserve"> </w:t>
      </w:r>
      <w:r>
        <w:t xml:space="preserve">study. Section 7 discusses limitations and policy implications.</w:t>
      </w:r>
    </w:p>
    <w:p>
      <w:pPr>
        <w:pStyle w:val="BodyText"/>
      </w:pPr>
      <w:r>
        <w:t xml:space="preserve">We propose that the temporal order of AI-driven occupational displacement</w:t>
      </w:r>
      <w:r>
        <w:t xml:space="preserve"> </w:t>
      </w:r>
      <w:r>
        <w:t xml:space="preserve">reflects a thermodynamic gradient. Occupations in which AI systems perform</w:t>
      </w:r>
      <w:r>
        <w:t xml:space="preserve"> </w:t>
      </w:r>
      <w:r>
        <w:t xml:space="preserve">a given task at substantially higher entropy production than a human</w:t>
      </w:r>
      <w:r>
        <w:t xml:space="preserve"> </w:t>
      </w:r>
      <w:r>
        <w:t xml:space="preserve">worker are displaced earlier; occupations where the entropy gap is small</w:t>
      </w:r>
      <w:r>
        <w:t xml:space="preserve"> </w:t>
      </w:r>
      <w:r>
        <w:t xml:space="preserve">or negative are displaced later, or not at all on current hardware. This</w:t>
      </w:r>
      <w:r>
        <w:t xml:space="preserve"> </w:t>
      </w:r>
      <w:r>
        <w:t xml:space="preserve">claim — entropy-production asymmetry, EPA — is offered as a</w:t>
      </w:r>
      <w:r>
        <w:t xml:space="preserve"> </w:t>
      </w:r>
      <w:r>
        <w:t xml:space="preserve">complement, not a replacement, for capability-based exposure measures</w:t>
      </w:r>
      <w:r>
        <w:t xml:space="preserve"> </w:t>
      </w:r>
      <w:r>
        <w:t xml:space="preserve">such as routinisability or GPT-task-coverage. We test it by regressing</w:t>
      </w:r>
      <w:r>
        <w:t xml:space="preserve"> </w:t>
      </w:r>
      <w:r>
        <w:t xml:space="preserve">2019–2025 BLS occupational employment changes against a constructed EPA</w:t>
      </w:r>
      <w:r>
        <w:t xml:space="preserve"> </w:t>
      </w:r>
      <w:r>
        <w:t xml:space="preserve">index for the 800-odd US SOC codes, controlling for the conventional</w:t>
      </w:r>
      <w:r>
        <w:t xml:space="preserve"> </w:t>
      </w:r>
      <w:r>
        <w:t xml:space="preserve">automation-exposure measures of</w:t>
      </w:r>
      <w:r>
        <w:t xml:space="preserve"> </w:t>
      </w:r>
      <w:r>
        <w:t xml:space="preserve">Acemoglu and Restrepo (2020)</w:t>
      </w:r>
      <w:r>
        <w:t xml:space="preserve"> </w:t>
      </w:r>
      <w:r>
        <w:t xml:space="preserve">and</w:t>
      </w:r>
      <w:r>
        <w:t xml:space="preserve"> </w:t>
      </w:r>
      <w:r>
        <w:t xml:space="preserve">Eloundou et al. (2023)</w:t>
      </w:r>
      <w:r>
        <w:t xml:space="preserve">. The empirical content of the paper rests on this</w:t>
      </w:r>
      <w:r>
        <w:t xml:space="preserve"> </w:t>
      </w:r>
      <w:r>
        <w:t xml:space="preserve">regression alone; the broader thermodynamic and cosmological framing is</w:t>
      </w:r>
      <w:r>
        <w:t xml:space="preserve"> </w:t>
      </w:r>
      <w:r>
        <w:t xml:space="preserve">heuristic and is not load-bearing.</w:t>
      </w:r>
    </w:p>
    <w:bookmarkEnd w:id="9"/>
    <w:bookmarkStart w:id="14" w:name="theoretical-framework"/>
    <w:p>
      <w:pPr>
        <w:pStyle w:val="Heading1"/>
      </w:pPr>
      <w:r>
        <w:t xml:space="preserve">2. Theoretical Framework</w:t>
      </w:r>
    </w:p>
    <w:bookmarkStart w:id="10" w:name="the-maximum-entropy-production-principle"/>
    <w:p>
      <w:pPr>
        <w:pStyle w:val="Heading2"/>
      </w:pPr>
      <w:r>
        <w:t xml:space="preserve">2.1 The Maximum Entropy Production Principle</w:t>
      </w:r>
    </w:p>
    <w:p>
      <w:pPr>
        <w:pStyle w:val="FirstParagraph"/>
      </w:pPr>
      <w:r>
        <w:t xml:space="preserve">In a far-from-equilibrium open system subject to multiple constraints, the</w:t>
      </w:r>
      <w:r>
        <w:t xml:space="preserve"> </w:t>
      </w:r>
      <w:r>
        <w:t xml:space="preserve">steady state realised is often the one that maximises the rate of entropy</w:t>
      </w:r>
      <w:r>
        <w:t xml:space="preserve"> </w:t>
      </w:r>
      <w:r>
        <w:t xml:space="preserve">production subject to those constraints</w:t>
      </w:r>
      <w:r>
        <w:t xml:space="preserve"> </w:t>
      </w:r>
      <w:r>
        <w:t xml:space="preserve">(Martyushev and Seleznev 2006)</w:t>
      </w:r>
      <w:r>
        <w:t xml:space="preserve">. MEPP is not a</w:t>
      </w:r>
      <w:r>
        <w:t xml:space="preserve"> </w:t>
      </w:r>
      <w:r>
        <w:t xml:space="preserve">fundamental theorem but a heuristic with substantial empirical support in</w:t>
      </w:r>
      <w:r>
        <w:t xml:space="preserve"> </w:t>
      </w:r>
      <w:r>
        <w:t xml:space="preserve">atmospheric circulation, mantle convection, and ecosystem dynamics</w:t>
      </w:r>
      <w:r>
        <w:t xml:space="preserve"> </w:t>
      </w:r>
      <w:r>
        <w:t xml:space="preserve">(Kleidon 2010; Lorenz 2003)</w:t>
      </w:r>
      <w:r>
        <w:t xml:space="preserve">. We treat MEPP throughout</w:t>
      </w:r>
      <w:r>
        <w:t xml:space="preserve"> </w:t>
      </w:r>
      <w:r>
        <w:t xml:space="preserve">as a</w:t>
      </w:r>
      <w:r>
        <w:t xml:space="preserve"> </w:t>
      </w:r>
      <w:r>
        <w:rPr>
          <w:i/>
          <w:iCs/>
        </w:rPr>
        <w:t xml:space="preserve">selection principle</w:t>
      </w:r>
      <w:r>
        <w:t xml:space="preserve">: among the kinetically accessible non-equilibrium</w:t>
      </w:r>
      <w:r>
        <w:t xml:space="preserve"> </w:t>
      </w:r>
      <w:r>
        <w:t xml:space="preserve">configurations, those producing more entropy per unit time tend to be</w:t>
      </w:r>
      <w:r>
        <w:t xml:space="preserve"> </w:t>
      </w:r>
      <w:r>
        <w:t xml:space="preserve">dynamically favoured. The principle is heuristic, not deductive; we adopt it</w:t>
      </w:r>
      <w:r>
        <w:t xml:space="preserve"> </w:t>
      </w:r>
      <w:r>
        <w:t xml:space="preserve">because the alternative selection principles (least dissipation, minimum entropy</w:t>
      </w:r>
      <w:r>
        <w:t xml:space="preserve"> </w:t>
      </w:r>
      <w:r>
        <w:t xml:space="preserve">production) have narrower empirical scope.</w:t>
      </w:r>
    </w:p>
    <w:bookmarkEnd w:id="10"/>
    <w:bookmarkStart w:id="11" w:name="Xb081932f6e968d9bcfd169cd63f1ab5920e7196"/>
    <w:p>
      <w:pPr>
        <w:pStyle w:val="Heading2"/>
      </w:pPr>
      <w:r>
        <w:t xml:space="preserve">2.2 Dissipative Adaptation: Life as an Entropy Accelerator</w:t>
      </w:r>
    </w:p>
    <w:p>
      <w:pPr>
        <w:pStyle w:val="FirstParagraph"/>
      </w:pPr>
      <w:r>
        <w:t xml:space="preserve">Schrödinger</w:t>
      </w:r>
      <w:r>
        <w:t xml:space="preserve"> </w:t>
      </w:r>
      <w:r>
        <w:t xml:space="preserve">(Schrödinger 1944)</w:t>
      </w:r>
      <w:r>
        <w:t xml:space="preserve"> </w:t>
      </w:r>
      <w:r>
        <w:t xml:space="preserve">argued that living systems sustain themselves by</w:t>
      </w:r>
      <w:r>
        <w:t xml:space="preserve"> </w:t>
      </w:r>
      <w:r>
        <w:t xml:space="preserve">importing free energy and exporting entropy. Prigogine</w:t>
      </w:r>
      <w:r>
        <w:t xml:space="preserve"> </w:t>
      </w:r>
      <w:r>
        <w:t xml:space="preserve">(Nicolis and Prigogine 1977)</w:t>
      </w:r>
      <w:r>
        <w:t xml:space="preserve"> </w:t>
      </w:r>
      <w:r>
        <w:t xml:space="preserve">generalised this into the theory of dissipative structures. England’s recent</w:t>
      </w:r>
      <w:r>
        <w:t xml:space="preserve"> </w:t>
      </w:r>
      <w:r>
        <w:t xml:space="preserve">work</w:t>
      </w:r>
      <w:r>
        <w:t xml:space="preserve"> </w:t>
      </w:r>
      <w:r>
        <w:t xml:space="preserve">(England 2013; Perunov et al. 2016)</w:t>
      </w:r>
      <w:r>
        <w:t xml:space="preserve"> </w:t>
      </w:r>
      <w:r>
        <w:t xml:space="preserve">derives, from non-</w:t>
      </w:r>
      <w:r>
        <w:t xml:space="preserve"> </w:t>
      </w:r>
      <w:r>
        <w:t xml:space="preserve">equilibrium statistical mechanics, the proposition that under a sufficiently</w:t>
      </w:r>
      <w:r>
        <w:t xml:space="preserve"> </w:t>
      </w:r>
      <w:r>
        <w:t xml:space="preserve">strong external drive, matter that self-replicates while dissipating rapidly is</w:t>
      </w:r>
      <w:r>
        <w:t xml:space="preserve"> </w:t>
      </w:r>
      <w:r>
        <w:t xml:space="preserve">statistically favoured over inert matter. Michaelian</w:t>
      </w:r>
      <w:r>
        <w:t xml:space="preserve"> </w:t>
      </w:r>
      <w:r>
        <w:t xml:space="preserve">(Michaelian 2011)</w:t>
      </w:r>
      <w:r>
        <w:t xml:space="preserve"> </w:t>
      </w:r>
      <w:r>
        <w:t xml:space="preserve">extends this argument to the origin of life itself, identifying primordial</w:t>
      </w:r>
      <w:r>
        <w:t xml:space="preserve"> </w:t>
      </w:r>
      <w:r>
        <w:t xml:space="preserve">photochemistry as a dissipator of solar UV photons.</w:t>
      </w:r>
    </w:p>
    <w:p>
      <w:pPr>
        <w:pStyle w:val="BodyText"/>
      </w:pPr>
      <w:r>
        <w:t xml:space="preserve">Two claims relevant for the present argument follow:</w:t>
      </w:r>
    </w:p>
    <w:p>
      <w:pPr>
        <w:pStyle w:val="Compact"/>
        <w:numPr>
          <w:ilvl w:val="0"/>
          <w:numId w:val="1001"/>
        </w:numPr>
      </w:pPr>
      <w:r>
        <w:t xml:space="preserve">Life is, on average, a more efficient dissipator than non-living matter at</w:t>
      </w:r>
      <w:r>
        <w:t xml:space="preserve"> </w:t>
      </w:r>
      <w:r>
        <w:t xml:space="preserve">comparable scale and substrate.</w:t>
      </w:r>
    </w:p>
    <w:p>
      <w:pPr>
        <w:pStyle w:val="Compact"/>
        <w:numPr>
          <w:ilvl w:val="0"/>
          <w:numId w:val="1001"/>
        </w:numPr>
      </w:pPr>
      <w:r>
        <w:t xml:space="preserve">Selection within the biosphere tends to prefer configurations that increase</w:t>
      </w:r>
      <w:r>
        <w:t xml:space="preserve"> </w:t>
      </w:r>
      <w:r>
        <w:t xml:space="preserve">the rate of free-energy throughput, all else equal.</w:t>
      </w:r>
    </w:p>
    <w:p>
      <w:pPr>
        <w:pStyle w:val="FirstParagraph"/>
      </w:pPr>
      <w:r>
        <w:t xml:space="preserve">These claims are well-supported in their domains. The contribution of the</w:t>
      </w:r>
      <w:r>
        <w:t xml:space="preserve"> </w:t>
      </w:r>
      <w:r>
        <w:t xml:space="preserve">present paper is to ask whether the same principle extends to</w:t>
      </w:r>
      <w:r>
        <w:t xml:space="preserve"> </w:t>
      </w:r>
      <w:r>
        <w:rPr>
          <w:i/>
          <w:iCs/>
        </w:rPr>
        <w:t xml:space="preserve">artificial</w:t>
      </w:r>
      <w:r>
        <w:t xml:space="preserve"> </w:t>
      </w:r>
      <w:r>
        <w:t xml:space="preserve">information-processing infrastructures.</w:t>
      </w:r>
    </w:p>
    <w:bookmarkEnd w:id="11"/>
    <w:bookmarkStart w:id="12" w:name="X9e6198956ca462959948feb3e18f954bd96d7c5"/>
    <w:p>
      <w:pPr>
        <w:pStyle w:val="Heading2"/>
      </w:pPr>
      <w:r>
        <w:t xml:space="preserve">2.3 Cosmological Motivation (Untestable, Non-Load-Bearing)</w:t>
      </w:r>
    </w:p>
    <w:p>
      <w:pPr>
        <w:pStyle w:val="FirstParagraph"/>
      </w:pPr>
      <w:r>
        <w:t xml:space="preserve">Two cosmological proposals motivate — but do not determine — our framing.</w:t>
      </w:r>
      <w:r>
        <w:t xml:space="preserve"> </w:t>
      </w:r>
      <w:r>
        <w:t xml:space="preserve">Smolin</w:t>
      </w:r>
      <w:r>
        <w:t xml:space="preserve"> </w:t>
      </w:r>
      <w:r>
        <w:t xml:space="preserve">(Smolin 1992)</w:t>
      </w:r>
      <w:r>
        <w:t xml:space="preserve"> </w:t>
      </w:r>
      <w:r>
        <w:t xml:space="preserve">postulates that black holes spawn baby universes whose</w:t>
      </w:r>
      <w:r>
        <w:t xml:space="preserve"> </w:t>
      </w:r>
      <w:r>
        <w:t xml:space="preserve">physical constants are slightly perturbed; universes that produce many black</w:t>
      </w:r>
      <w:r>
        <w:t xml:space="preserve"> </w:t>
      </w:r>
      <w:r>
        <w:t xml:space="preserve">holes are reproductively favoured. Crane</w:t>
      </w:r>
      <w:r>
        <w:t xml:space="preserve"> </w:t>
      </w:r>
      <w:r>
        <w:t xml:space="preserve">(Crane 1994)</w:t>
      </w:r>
      <w:r>
        <w:t xml:space="preserve"> </w:t>
      </w:r>
      <w:r>
        <w:t xml:space="preserve">speculates further</w:t>
      </w:r>
      <w:r>
        <w:t xml:space="preserve"> </w:t>
      </w:r>
      <w:r>
        <w:t xml:space="preserve">that intelligent life may engineer artificial black holes, accelerating</w:t>
      </w:r>
      <w:r>
        <w:t xml:space="preserve"> </w:t>
      </w:r>
      <w:r>
        <w:t xml:space="preserve">cosmological reproduction.</w:t>
      </w:r>
    </w:p>
    <w:p>
      <w:pPr>
        <w:pStyle w:val="BodyText"/>
      </w:pPr>
      <w:r>
        <w:t xml:space="preserve">Both proposals are, at present, untestable, and we do not endorse them. We</w:t>
      </w:r>
      <w:r>
        <w:t xml:space="preserve"> </w:t>
      </w:r>
      <w:r>
        <w:t xml:space="preserve">invoke them only as</w:t>
      </w:r>
      <w:r>
        <w:t xml:space="preserve"> </w:t>
      </w:r>
      <w:r>
        <w:rPr>
          <w:i/>
          <w:iCs/>
        </w:rPr>
        <w:t xml:space="preserve">theoretical inspiration</w:t>
      </w:r>
      <w:r>
        <w:t xml:space="preserve"> </w:t>
      </w:r>
      <w:r>
        <w:t xml:space="preserve">for the more modest claim that</w:t>
      </w:r>
      <w:r>
        <w:t xml:space="preserve"> </w:t>
      </w:r>
      <w:r>
        <w:t xml:space="preserve">follows: that even on Earth, on human timescales, the trajectory of</w:t>
      </w:r>
      <w:r>
        <w:t xml:space="preserve"> </w:t>
      </w:r>
      <w:r>
        <w:t xml:space="preserve">technological development displays an entropy-production–accelerating pattern</w:t>
      </w:r>
      <w:r>
        <w:t xml:space="preserve"> </w:t>
      </w:r>
      <w:r>
        <w:t xml:space="preserve">consistent with MEPP and dissipative adaptation.</w:t>
      </w:r>
      <w:r>
        <w:t xml:space="preserve"> </w:t>
      </w:r>
      <w:r>
        <w:rPr>
          <w:b/>
          <w:bCs/>
        </w:rPr>
        <w:t xml:space="preserve">No conclusion in this paper</w:t>
      </w:r>
      <w:r>
        <w:rPr>
          <w:b/>
          <w:bCs/>
        </w:rPr>
        <w:t xml:space="preserve"> </w:t>
      </w:r>
      <w:r>
        <w:rPr>
          <w:b/>
          <w:bCs/>
        </w:rPr>
        <w:t xml:space="preserve">depends on the cosmological proposals being correct.</w:t>
      </w:r>
    </w:p>
    <w:bookmarkEnd w:id="12"/>
    <w:bookmarkStart w:id="13" w:name="X0f24e7f615a90d75b8e6fe59cb2fcf251a3575c"/>
    <w:p>
      <w:pPr>
        <w:pStyle w:val="Heading2"/>
      </w:pPr>
      <w:r>
        <w:t xml:space="preserve">2.4 The Energy Footprint of Artificial Intelligence</w:t>
      </w:r>
    </w:p>
    <w:p>
      <w:pPr>
        <w:pStyle w:val="FirstParagraph"/>
      </w:pPr>
      <w:r>
        <w:t xml:space="preserve">The deployment of large AI systems imposes a substantial and accelerating</w:t>
      </w:r>
      <w:r>
        <w:t xml:space="preserve"> </w:t>
      </w:r>
      <w:r>
        <w:t xml:space="preserve">energy load. The International Energy Agency</w:t>
      </w:r>
      <w:r>
        <w:t xml:space="preserve"> </w:t>
      </w:r>
      <w:r>
        <w:t xml:space="preserve">(International Energy Agency 2024)</w:t>
      </w:r>
      <w:r>
        <w:t xml:space="preserve"> </w:t>
      </w:r>
      <w:r>
        <w:t xml:space="preserve">reports</w:t>
      </w:r>
      <w:r>
        <w:t xml:space="preserve"> </w:t>
      </w:r>
      <w:r>
        <w:t xml:space="preserve">that data centres accounted for approximately 1.0–1.3 % of global electricity</w:t>
      </w:r>
      <w:r>
        <w:t xml:space="preserve"> </w:t>
      </w:r>
      <w:r>
        <w:t xml:space="preserve">demand in 2022 and projects 3–4 % by 2030. A single ChatGPT query consumes</w:t>
      </w:r>
      <w:r>
        <w:t xml:space="preserve"> </w:t>
      </w:r>
      <w:r>
        <w:t xml:space="preserve">roughly 2.9 Wh, approximately an order of magnitude more than a comparable</w:t>
      </w:r>
      <w:r>
        <w:t xml:space="preserve"> </w:t>
      </w:r>
      <w:r>
        <w:t xml:space="preserve">Google search</w:t>
      </w:r>
      <w:r>
        <w:t xml:space="preserve"> </w:t>
      </w:r>
      <w:r>
        <w:t xml:space="preserve">(Vries 2023)</w:t>
      </w:r>
      <w:r>
        <w:t xml:space="preserve">. Training-run estimates for frontier</w:t>
      </w:r>
      <w:r>
        <w:t xml:space="preserve"> </w:t>
      </w:r>
      <w:r>
        <w:t xml:space="preserve">models range from approximately 1 GWh (GPT-3) to tens of GWh (GPT-4)</w:t>
      </w:r>
      <w:r>
        <w:t xml:space="preserve"> </w:t>
      </w:r>
      <w:r>
        <w:t xml:space="preserve">(Patterson et al. 2021)</w:t>
      </w:r>
      <w:r>
        <w:t xml:space="preserve">.</w:t>
      </w:r>
    </w:p>
    <w:p>
      <w:pPr>
        <w:pStyle w:val="BodyText"/>
      </w:pPr>
      <w:r>
        <w:t xml:space="preserve">For comparison, the human brain consumes roughly 20 W, or about 0.48 kWh per</w:t>
      </w:r>
      <w:r>
        <w:t xml:space="preserve"> </w:t>
      </w:r>
      <w:r>
        <w:t xml:space="preserve">day. On a per-token basis, contemporary transformer inference dissipates</w:t>
      </w:r>
      <w:r>
        <w:t xml:space="preserve"> </w:t>
      </w:r>
      <w:r>
        <w:t xml:space="preserve">between two and four orders of magnitude more energy than a human brain</w:t>
      </w:r>
      <w:r>
        <w:t xml:space="preserve"> </w:t>
      </w:r>
      <w:r>
        <w:t xml:space="preserve">producing comparable linguistic output.</w:t>
      </w:r>
      <w:r>
        <w:t xml:space="preserve"> </w:t>
      </w:r>
      <w:r>
        <w:rPr>
          <w:b/>
          <w:bCs/>
        </w:rPr>
        <w:t xml:space="preserve">AI systems are, in MEPP terms, a new</w:t>
      </w:r>
      <w:r>
        <w:rPr>
          <w:b/>
          <w:bCs/>
        </w:rPr>
        <w:t xml:space="preserve"> </w:t>
      </w:r>
      <w:r>
        <w:rPr>
          <w:b/>
          <w:bCs/>
        </w:rPr>
        <w:t xml:space="preserve">and exceptionally energetic class of dissipator.</w:t>
      </w:r>
      <w:r>
        <w:t xml:space="preserve"> </w:t>
      </w:r>
      <w:r>
        <w:t xml:space="preserve">This is not an indictment;</w:t>
      </w:r>
      <w:r>
        <w:t xml:space="preserve"> </w:t>
      </w:r>
      <w:r>
        <w:t xml:space="preserve">it is the precise feature that, under H1–H3, should make AI dynamically</w:t>
      </w:r>
      <w:r>
        <w:t xml:space="preserve"> </w:t>
      </w:r>
      <w:r>
        <w:t xml:space="preserve">favoured as a substitution path for energy-poor human cognitive labor.</w:t>
      </w:r>
    </w:p>
    <w:bookmarkEnd w:id="13"/>
    <w:bookmarkEnd w:id="14"/>
    <w:bookmarkStart w:id="15" w:name="hypotheses"/>
    <w:p>
      <w:pPr>
        <w:pStyle w:val="Heading1"/>
      </w:pPr>
      <w:r>
        <w:t xml:space="preserve">3. Hypotheses</w:t>
      </w:r>
    </w:p>
    <w:p>
      <w:pPr>
        <w:pStyle w:val="FirstParagraph"/>
      </w:pPr>
      <w:r>
        <w:t xml:space="preserve">We state four nested hypotheses, ordered from most general to most empirically</w:t>
      </w:r>
      <w:r>
        <w:t xml:space="preserve"> </w:t>
      </w:r>
      <w:r>
        <w:t xml:space="preserve">constrained:</w:t>
      </w:r>
    </w:p>
    <w:p>
      <w:pPr>
        <w:pStyle w:val="BodyText"/>
      </w:pPr>
      <w:r>
        <w:rPr>
          <w:b/>
          <w:bCs/>
        </w:rPr>
        <w:t xml:space="preserve">H1 (Meta-principle).</w:t>
      </w:r>
      <w:r>
        <w:t xml:space="preserve"> </w:t>
      </w:r>
      <w:r>
        <w:t xml:space="preserve">The macroscopic dynamics of open driven systems</w:t>
      </w:r>
      <w:r>
        <w:t xml:space="preserve"> </w:t>
      </w:r>
      <w:r>
        <w:t xml:space="preserve">exhibit a tendency toward configurations of higher entropy-production rate,</w:t>
      </w:r>
      <w:r>
        <w:t xml:space="preserve"> </w:t>
      </w:r>
      <w:r>
        <w:t xml:space="preserve">subject to constraints</w:t>
      </w:r>
      <w:r>
        <w:t xml:space="preserve"> </w:t>
      </w:r>
      <w:r>
        <w:t xml:space="preserve">(MEPP, Kleidon 2010)</w:t>
      </w:r>
      <w:r>
        <w:t xml:space="preserve">.</w:t>
      </w:r>
    </w:p>
    <w:p>
      <w:pPr>
        <w:pStyle w:val="BodyText"/>
      </w:pPr>
      <w:r>
        <w:rPr>
          <w:b/>
          <w:bCs/>
        </w:rPr>
        <w:t xml:space="preserve">H2 (Biological corollary).</w:t>
      </w:r>
      <w:r>
        <w:t xml:space="preserve"> </w:t>
      </w:r>
      <w:r>
        <w:t xml:space="preserve">Living systems, on average, produce more entropy</w:t>
      </w:r>
      <w:r>
        <w:t xml:space="preserve"> </w:t>
      </w:r>
      <w:r>
        <w:t xml:space="preserve">per unit metabolisable resource than abiotic structures of comparable scale</w:t>
      </w:r>
      <w:r>
        <w:t xml:space="preserve"> </w:t>
      </w:r>
      <w:r>
        <w:t xml:space="preserve">(Perunov et al. 2016)</w:t>
      </w:r>
      <w:r>
        <w:t xml:space="preserve">.</w:t>
      </w:r>
    </w:p>
    <w:p>
      <w:pPr>
        <w:pStyle w:val="BodyText"/>
      </w:pPr>
      <w:r>
        <w:rPr>
          <w:b/>
          <w:bCs/>
        </w:rPr>
        <w:t xml:space="preserve">H3 (Technological extension).</w:t>
      </w:r>
      <w:r>
        <w:t xml:space="preserve"> </w:t>
      </w:r>
      <w:r>
        <w:t xml:space="preserve">The historical trajectory of human</w:t>
      </w:r>
      <w:r>
        <w:t xml:space="preserve"> </w:t>
      </w:r>
      <w:r>
        <w:t xml:space="preserve">information-processing technology — pre-industrial labor, mechanised industry,</w:t>
      </w:r>
      <w:r>
        <w:t xml:space="preserve"> </w:t>
      </w:r>
      <w:r>
        <w:t xml:space="preserve">digital computing, large-scale AI — has involved monotonic increases in entropy</w:t>
      </w:r>
      <w:r>
        <w:t xml:space="preserve"> </w:t>
      </w:r>
      <w:r>
        <w:t xml:space="preserve">production per unit symbolic operation.</w:t>
      </w:r>
    </w:p>
    <w:p>
      <w:pPr>
        <w:pStyle w:val="BodyText"/>
      </w:pPr>
      <w:r>
        <w:rPr>
          <w:b/>
          <w:bCs/>
        </w:rPr>
        <w:t xml:space="preserve">H4 (Labor-market prediction — the empirical contribution).</w:t>
      </w:r>
      <w:r>
        <w:t xml:space="preserve"> </w:t>
      </w:r>
      <w:r>
        <w:t xml:space="preserve">The temporal</w:t>
      </w:r>
      <w:r>
        <w:t xml:space="preserve"> </w:t>
      </w:r>
      <w:r>
        <w:t xml:space="preserve">order in which occupations are displaced by AI systems is partially predicted</w:t>
      </w:r>
      <w:r>
        <w:t xml:space="preserve"> </w:t>
      </w:r>
      <w:r>
        <w:t xml:space="preserve">by the</w:t>
      </w:r>
      <w:r>
        <w:t xml:space="preserve"> </w:t>
      </w:r>
      <w:r>
        <w:rPr>
          <w:i/>
          <w:iCs/>
        </w:rPr>
        <w:t xml:space="preserve">entropy-production gap</w:t>
      </w:r>
      <w:r>
        <w:t xml:space="preserve"> </w:t>
      </w:r>
      <w:r>
        <w:t xml:space="preserve">between a human performing the task and an AI</w:t>
      </w:r>
      <w:r>
        <w:t xml:space="preserve"> </w:t>
      </w:r>
      <w:r>
        <w:t xml:space="preserve">system performing the equivalent task. Occupations with</w:t>
      </w:r>
      <w:r>
        <w:t xml:space="preserve"> </w:t>
      </w:r>
      <w:r>
        <w:rPr>
          <w:b/>
          <w:bCs/>
        </w:rPr>
        <w:t xml:space="preserve">larger gaps</w:t>
      </w:r>
      <w:r>
        <w:t xml:space="preserve"> </w:t>
      </w:r>
      <w:r>
        <w:t xml:space="preserve">(occupations where AI performs the task with substantially higher entropy</w:t>
      </w:r>
      <w:r>
        <w:t xml:space="preserve"> </w:t>
      </w:r>
      <w:r>
        <w:t xml:space="preserve">production than a human) are displaced earlier; occupations with</w:t>
      </w:r>
      <w:r>
        <w:t xml:space="preserve"> </w:t>
      </w:r>
      <w:r>
        <w:rPr>
          <w:b/>
          <w:bCs/>
        </w:rPr>
        <w:t xml:space="preserve">smaller or</w:t>
      </w:r>
      <w:r>
        <w:rPr>
          <w:b/>
          <w:bCs/>
        </w:rPr>
        <w:t xml:space="preserve"> </w:t>
      </w:r>
      <w:r>
        <w:rPr>
          <w:b/>
          <w:bCs/>
        </w:rPr>
        <w:t xml:space="preserve">negative gaps</w:t>
      </w:r>
      <w:r>
        <w:t xml:space="preserve"> </w:t>
      </w:r>
      <w:r>
        <w:t xml:space="preserve">are displaced later, or not at all on current hardware.</w:t>
      </w:r>
    </w:p>
    <w:p>
      <w:pPr>
        <w:pStyle w:val="BodyText"/>
      </w:pPr>
      <w:r>
        <w:t xml:space="preserve">H1 and H2 are restatements of established literature. H3 is a synthesis. H4 is</w:t>
      </w:r>
      <w:r>
        <w:t xml:space="preserve"> </w:t>
      </w:r>
      <w:r>
        <w:t xml:space="preserve">the testable contribution of this paper. The remainder of the paper concerns</w:t>
      </w:r>
      <w:r>
        <w:t xml:space="preserve"> </w:t>
      </w:r>
      <w:r>
        <w:t xml:space="preserve">H4.</w:t>
      </w:r>
    </w:p>
    <w:bookmarkEnd w:id="15"/>
    <w:bookmarkStart w:id="16" w:name="operationalisation"/>
    <w:p>
      <w:pPr>
        <w:pStyle w:val="Heading1"/>
      </w:pPr>
      <w:r>
        <w:t xml:space="preserve">4. Operationalisation</w:t>
      </w:r>
    </w:p>
    <w:p>
      <w:pPr>
        <w:pStyle w:val="FirstParagraph"/>
      </w:pPr>
      <w:r>
        <w:t xml:space="preserve">We require an operational measure of</w:t>
      </w:r>
      <w:r>
        <w:t xml:space="preserve"> </w:t>
      </w:r>
      <w:r>
        <w:rPr>
          <w:i/>
          <w:iCs/>
        </w:rPr>
        <w:t xml:space="preserve">entropy-production gap</w:t>
      </w:r>
      <w:r>
        <w:t xml:space="preserve"> </w:t>
      </w:r>
      <w:r>
        <w:t xml:space="preserve">for an</w:t>
      </w:r>
      <w:r>
        <w:t xml:space="preserve"> </w:t>
      </w:r>
      <w:r>
        <w:t xml:space="preserve">occupation. Three candidate definitions are available, each with distinct</w:t>
      </w:r>
      <w:r>
        <w:t xml:space="preserve"> </w:t>
      </w:r>
      <w:r>
        <w:t xml:space="preserve">trade-offs.</w:t>
      </w:r>
    </w:p>
    <w:p>
      <w:pPr>
        <w:pStyle w:val="BodyText"/>
      </w:pPr>
      <w:r>
        <w:rPr>
          <w:b/>
          <w:bCs/>
        </w:rPr>
        <w:t xml:space="preserve">Option A — Metabolic baseline.</w:t>
      </w:r>
      <w:r>
        <w:t xml:space="preserve"> </w:t>
      </w:r>
      <w:r>
        <w:t xml:space="preserve">For each occupation, estimate the average</w:t>
      </w:r>
      <w:r>
        <w:t xml:space="preserve"> </w:t>
      </w:r>
      <w:r>
        <w:t xml:space="preserve">human metabolic expenditure during work, using O</w:t>
      </w:r>
      <w:r>
        <w:rPr>
          <w:i/>
          <w:iCs/>
        </w:rPr>
        <w:t xml:space="preserve">NET physical-demand ratings</w:t>
      </w:r>
      <w:r>
        <w:rPr>
          <w:i/>
          <w:iCs/>
        </w:rPr>
        <w:t xml:space="preserve"> </w:t>
      </w:r>
      <w:r>
        <w:rPr>
          <w:i/>
          <w:iCs/>
        </w:rPr>
        <w:t xml:space="preserve">cross-referenced with metabolic-equivalent (MET) values from the Ainsworth</w:t>
      </w:r>
      <w:r>
        <w:rPr>
          <w:i/>
          <w:iCs/>
        </w:rPr>
        <w:t xml:space="preserve"> </w:t>
      </w:r>
      <w:r>
        <w:rPr>
          <w:i/>
          <w:iCs/>
        </w:rPr>
        <w:t xml:space="preserve">Compendium of Physical Activities. For the AI substitute, estimate the</w:t>
      </w:r>
      <w:r>
        <w:rPr>
          <w:i/>
          <w:iCs/>
        </w:rPr>
        <w:t xml:space="preserve"> </w:t>
      </w:r>
      <w:r>
        <w:rPr>
          <w:i/>
          <w:iCs/>
        </w:rPr>
        <w:t xml:space="preserve">energetic cost per equivalent task using published model-inference figures and</w:t>
      </w:r>
      <w:r>
        <w:rPr>
          <w:i/>
          <w:iCs/>
        </w:rPr>
        <w:t xml:space="preserve"> </w:t>
      </w:r>
      <w:r>
        <w:rPr>
          <w:i/>
          <w:iCs/>
        </w:rPr>
        <w:t xml:space="preserve">amortised training cost. The gap is the difference, expressed in joules per</w:t>
      </w:r>
      <w:r>
        <w:rPr>
          <w:i/>
          <w:iCs/>
        </w:rPr>
        <w:t xml:space="preserve"> </w:t>
      </w:r>
      <w:r>
        <w:rPr>
          <w:i/>
          <w:iCs/>
        </w:rPr>
        <w:t xml:space="preserve">canonical task.</w:t>
      </w:r>
      <w:r>
        <w:rPr>
          <w:i/>
          <w:iCs/>
        </w:rPr>
        <w:t xml:space="preserve"> </w:t>
      </w:r>
      <w:r>
        <w:t xml:space="preserve">Strength</w:t>
      </w:r>
      <w:r>
        <w:rPr>
          <w:i/>
          <w:iCs/>
        </w:rPr>
        <w:t xml:space="preserve">: closest alignment with the MEPP/dissipative-</w:t>
      </w:r>
      <w:r>
        <w:rPr>
          <w:i/>
          <w:iCs/>
        </w:rPr>
        <w:t xml:space="preserve"> </w:t>
      </w:r>
      <w:r>
        <w:rPr>
          <w:i/>
          <w:iCs/>
        </w:rPr>
        <w:t xml:space="preserve">adaptation literature.</w:t>
      </w:r>
      <w:r>
        <w:rPr>
          <w:i/>
          <w:iCs/>
        </w:rPr>
        <w:t xml:space="preserve"> </w:t>
      </w:r>
      <w:r>
        <w:t xml:space="preserve">Weakness*: under-counts the metabolic cost of cognitive</w:t>
      </w:r>
      <w:r>
        <w:t xml:space="preserve"> </w:t>
      </w:r>
      <w:r>
        <w:t xml:space="preserve">labor (the brain consumes ≈ 20 W regardless of physical demand).</w:t>
      </w:r>
    </w:p>
    <w:p>
      <w:pPr>
        <w:pStyle w:val="BodyText"/>
      </w:pPr>
      <w:r>
        <w:rPr>
          <w:b/>
          <w:bCs/>
        </w:rPr>
        <w:t xml:space="preserve">Option B — Information-throughput baseline.</w:t>
      </w:r>
      <w:r>
        <w:t xml:space="preserve"> </w:t>
      </w:r>
      <w:r>
        <w:t xml:space="preserve">Estimate symbolic throughput in</w:t>
      </w:r>
      <w:r>
        <w:t xml:space="preserve"> </w:t>
      </w:r>
      <w:r>
        <w:t xml:space="preserve">bits/second for the human worker (text generation rate, decision rate, motor-</w:t>
      </w:r>
      <w:r>
        <w:t xml:space="preserve"> </w:t>
      </w:r>
      <w:r>
        <w:t xml:space="preserve">output rate) and for the AI substitute. Compute the energy per bit for each</w:t>
      </w:r>
      <w:r>
        <w:t xml:space="preserve"> </w:t>
      </w:r>
      <w:r>
        <w:t xml:space="preserve">side.</w:t>
      </w:r>
      <w:r>
        <w:t xml:space="preserve"> </w:t>
      </w:r>
      <w:r>
        <w:rPr>
          <w:i/>
          <w:iCs/>
        </w:rPr>
        <w:t xml:space="preserve">Strength</w:t>
      </w:r>
      <w:r>
        <w:t xml:space="preserve">: task-neutral, treats cognitive and physical labor on the same</w:t>
      </w:r>
      <w:r>
        <w:t xml:space="preserve"> </w:t>
      </w:r>
      <w:r>
        <w:t xml:space="preserve">footing.</w:t>
      </w:r>
      <w:r>
        <w:t xml:space="preserve"> </w:t>
      </w:r>
      <w:r>
        <w:rPr>
          <w:i/>
          <w:iCs/>
        </w:rPr>
        <w:t xml:space="preserve">Weakness</w:t>
      </w:r>
      <w:r>
        <w:t xml:space="preserve">: throughput is hard to measure for many occupations.</w:t>
      </w:r>
    </w:p>
    <w:p>
      <w:pPr>
        <w:pStyle w:val="BodyText"/>
      </w:pPr>
      <w:r>
        <w:rPr>
          <w:b/>
          <w:bCs/>
        </w:rPr>
        <w:t xml:space="preserve">Option C — Cost-of-substitution baseline.</w:t>
      </w:r>
      <w:r>
        <w:t xml:space="preserve"> </w:t>
      </w:r>
      <w:r>
        <w:t xml:space="preserve">Use observed market price per</w:t>
      </w:r>
      <w:r>
        <w:t xml:space="preserve"> </w:t>
      </w:r>
      <w:r>
        <w:t xml:space="preserve">task as a proxy. Where market prices have already been disturbed by AI</w:t>
      </w:r>
      <w:r>
        <w:t xml:space="preserve"> </w:t>
      </w:r>
      <w:r>
        <w:t xml:space="preserve">substitution, compute the energy delta directly, treating the price signal as</w:t>
      </w:r>
      <w:r>
        <w:t xml:space="preserve"> </w:t>
      </w:r>
      <w:r>
        <w:t xml:space="preserve">a coarse-grained thermodynamic signal.</w:t>
      </w:r>
      <w:r>
        <w:t xml:space="preserve"> </w:t>
      </w:r>
      <w:r>
        <w:rPr>
          <w:i/>
          <w:iCs/>
        </w:rPr>
        <w:t xml:space="preserve">Strength</w:t>
      </w:r>
      <w:r>
        <w:t xml:space="preserve">: cleanest data.</w:t>
      </w:r>
      <w:r>
        <w:t xml:space="preserve"> </w:t>
      </w:r>
      <w:r>
        <w:rPr>
          <w:i/>
          <w:iCs/>
        </w:rPr>
        <w:t xml:space="preserve">Weakness</w:t>
      </w:r>
      <w:r>
        <w:t xml:space="preserve">:</w:t>
      </w:r>
      <w:r>
        <w:t xml:space="preserve"> </w:t>
      </w:r>
      <w:r>
        <w:t xml:space="preserve">conflates economic and thermodynamic variables, and assumes that price tracks</w:t>
      </w:r>
      <w:r>
        <w:t xml:space="preserve"> </w:t>
      </w:r>
      <w:r>
        <w:t xml:space="preserve">energy at long horizons</w:t>
      </w:r>
      <w:r>
        <w:t xml:space="preserve"> </w:t>
      </w:r>
      <w:r>
        <w:t xml:space="preserve">(a defensible but non-trivial assumption, Garrett 2014)</w:t>
      </w:r>
      <w:r>
        <w:t xml:space="preserve">.</w:t>
      </w:r>
    </w:p>
    <w:p>
      <w:pPr>
        <w:pStyle w:val="BodyText"/>
      </w:pPr>
      <w:r>
        <w:t xml:space="preserve">We adopt</w:t>
      </w:r>
      <w:r>
        <w:t xml:space="preserve"> </w:t>
      </w:r>
      <w:r>
        <w:rPr>
          <w:b/>
          <w:bCs/>
        </w:rPr>
        <w:t xml:space="preserve">Option A</w:t>
      </w:r>
      <w:r>
        <w:t xml:space="preserve"> </w:t>
      </w:r>
      <w:r>
        <w:t xml:space="preserve">— the metabolic baseline — as our primary</w:t>
      </w:r>
      <w:r>
        <w:t xml:space="preserve"> </w:t>
      </w:r>
      <w:r>
        <w:t xml:space="preserve">operational definition. The choice is motivated by direct alignment with</w:t>
      </w:r>
      <w:r>
        <w:t xml:space="preserve"> </w:t>
      </w:r>
      <w:r>
        <w:t xml:space="preserve">the MEPP and dissipative-adaptation literature on which §2 rests, by the</w:t>
      </w:r>
      <w:r>
        <w:t xml:space="preserve"> </w:t>
      </w:r>
      <w:r>
        <w:t xml:space="preserve">unit-clarity of joules per hour, and by data availability for all SOC</w:t>
      </w:r>
      <w:r>
        <w:t xml:space="preserve"> </w:t>
      </w:r>
      <w:r>
        <w:t xml:space="preserve">codes via O*NET physical-demand ratings and the Ainsworth Compendium of</w:t>
      </w:r>
      <w:r>
        <w:t xml:space="preserve"> </w:t>
      </w:r>
      <w:r>
        <w:t xml:space="preserve">Physical Activities. The principal weakness — that human metabolic cost</w:t>
      </w:r>
      <w:r>
        <w:t xml:space="preserve"> </w:t>
      </w:r>
      <w:r>
        <w:t xml:space="preserve">is approximately uniform across cognitive occupations because the brain</w:t>
      </w:r>
      <w:r>
        <w:t xml:space="preserve"> </w:t>
      </w:r>
      <w:r>
        <w:t xml:space="preserve">consumes ≈ 20 W regardless of cognitive load — is addressed in §5 with</w:t>
      </w:r>
      <w:r>
        <w:t xml:space="preserve"> </w:t>
      </w:r>
      <w:r>
        <w:t xml:space="preserve">a robustness check using Option B (information-throughput) for the</w:t>
      </w:r>
      <w:r>
        <w:t xml:space="preserve"> </w:t>
      </w:r>
      <w:r>
        <w:t xml:space="preserve">subset of occupations with well-defined symbolic-output rates. Cost-based</w:t>
      </w:r>
      <w:r>
        <w:t xml:space="preserve"> </w:t>
      </w:r>
      <w:r>
        <w:t xml:space="preserve">definitions (Option C) conflate economic and thermodynamic variables and</w:t>
      </w:r>
      <w:r>
        <w:t xml:space="preserve"> </w:t>
      </w:r>
      <w:r>
        <w:t xml:space="preserve">are deferred to future work.</w:t>
      </w:r>
    </w:p>
    <w:bookmarkEnd w:id="16"/>
    <w:bookmarkStart w:id="17" w:name="empirical-strategy"/>
    <w:p>
      <w:pPr>
        <w:pStyle w:val="Heading1"/>
      </w:pPr>
      <w:r>
        <w:t xml:space="preserve">5. Empirical Strategy</w:t>
      </w:r>
    </w:p>
    <w:p>
      <w:pPr>
        <w:pStyle w:val="FirstParagraph"/>
      </w:pPr>
      <w:r>
        <w:t xml:space="preserve">The basic regression is</w:t>
      </w:r>
    </w:p>
    <w:p>
      <w:pPr>
        <w:pStyle w:val="BodyText"/>
      </w:pPr>
      <m:oMathPara>
        <m:oMathParaPr>
          <m:jc m:val="center"/>
        </m:oMathParaPr>
        <m:oMath>
          <m:r>
            <m:rPr>
              <m:sty m:val="p"/>
            </m:rPr>
            <m:t>Δ</m:t>
          </m:r>
          <m:sSub>
            <m:e>
              <m:r>
                <m:rPr>
                  <m:nor/>
                  <m:sty m:val="p"/>
                </m:rPr>
                <m:t>employment</m:t>
              </m:r>
            </m:e>
            <m:sub>
              <m:r>
                <m:t>i</m:t>
              </m:r>
              <m:r>
                <m:rPr>
                  <m:sty m:val="p"/>
                </m:rPr>
                <m:t>,</m:t>
              </m:r>
              <m:r>
                <m:t>t</m:t>
              </m:r>
            </m:sub>
          </m:sSub>
          <m:r>
            <m:rPr>
              <m:sty m:val="p"/>
            </m:rPr>
            <m:t>=</m:t>
          </m:r>
          <m:r>
            <m:t>α</m:t>
          </m:r>
          <m:r>
            <m:rPr>
              <m:sty m:val="p"/>
            </m:rPr>
            <m:t>+</m:t>
          </m:r>
          <m:r>
            <m:t>β</m:t>
          </m:r>
          <m:r>
            <m:rPr>
              <m:sty m:val="p"/>
            </m:rPr>
            <m:t>⋅</m:t>
          </m:r>
          <m:sSub>
            <m:e>
              <m:r>
                <m:rPr>
                  <m:nor/>
                  <m:sty m:val="p"/>
                </m:rPr>
                <m:t>EPA</m:t>
              </m:r>
            </m:e>
            <m:sub>
              <m:r>
                <m:t>i</m:t>
              </m:r>
            </m:sub>
          </m:sSub>
          <m:r>
            <m:rPr>
              <m:sty m:val="p"/>
            </m:rPr>
            <m:t>+</m:t>
          </m:r>
          <m:r>
            <m:t>γ</m:t>
          </m:r>
          <m:sSub>
            <m:e>
              <m:r>
                <m:t>X</m:t>
              </m:r>
            </m:e>
            <m:sub>
              <m:r>
                <m:t>i</m:t>
              </m:r>
              <m:r>
                <m:rPr>
                  <m:sty m:val="p"/>
                </m:rPr>
                <m:t>,</m:t>
              </m:r>
              <m:r>
                <m:t>t</m:t>
              </m:r>
            </m:sub>
          </m:sSub>
          <m:r>
            <m:rPr>
              <m:sty m:val="p"/>
            </m:rPr>
            <m:t>+</m:t>
          </m:r>
          <m:sSub>
            <m:e>
              <m:r>
                <m:t>ϵ</m:t>
              </m:r>
            </m:e>
            <m:sub>
              <m:r>
                <m:t>i</m:t>
              </m:r>
              <m:r>
                <m:rPr>
                  <m:sty m:val="p"/>
                </m:rPr>
                <m:t>,</m:t>
              </m:r>
              <m:r>
                <m:t>t</m:t>
              </m:r>
            </m:sub>
          </m:sSub>
          <m:r>
            <m:rPr>
              <m:sty m:val="p"/>
            </m:rPr>
            <m:t>,</m:t>
          </m:r>
        </m:oMath>
      </m:oMathPara>
    </w:p>
    <w:p>
      <w:pPr>
        <w:pStyle w:val="FirstParagraph"/>
      </w:pPr>
      <w:r>
        <w:t xml:space="preserve">where</w:t>
      </w:r>
      <w:r>
        <w:t xml:space="preserve"> </w:t>
      </w:r>
      <m:oMath>
        <m:sSub>
          <m:e>
            <m:r>
              <m:rPr>
                <m:nor/>
                <m:sty m:val="p"/>
              </m:rPr>
              <m:t>EPA</m:t>
            </m:r>
          </m:e>
          <m:sub>
            <m:r>
              <m:t>i</m:t>
            </m:r>
          </m:sub>
        </m:sSub>
      </m:oMath>
      <w:r>
        <w:t xml:space="preserve"> </w:t>
      </w:r>
      <w:r>
        <w:t xml:space="preserve">is the operationalised entropy-production gap (per</w:t>
      </w:r>
      <w:r>
        <w:t xml:space="preserve"> </w:t>
      </w:r>
      <w:r>
        <w:t xml:space="preserve">Section 4) for occupation</w:t>
      </w:r>
      <w:r>
        <w:t xml:space="preserve"> </w:t>
      </w:r>
      <m:oMath>
        <m:r>
          <m:t>i</m:t>
        </m:r>
      </m:oMath>
      <w:r>
        <w:t xml:space="preserve">,</w:t>
      </w:r>
      <w:r>
        <w:t xml:space="preserve"> </w:t>
      </w:r>
      <m:oMath>
        <m:r>
          <m:rPr>
            <m:sty m:val="p"/>
          </m:rPr>
          <m:t>Δ</m:t>
        </m:r>
        <m:sSub>
          <m:e>
            <m:r>
              <m:rPr>
                <m:nor/>
                <m:sty m:val="p"/>
              </m:rPr>
              <m:t>employment</m:t>
            </m:r>
          </m:e>
          <m:sub>
            <m:r>
              <m:t>i</m:t>
            </m:r>
            <m:r>
              <m:rPr>
                <m:sty m:val="p"/>
              </m:rPr>
              <m:t>,</m:t>
            </m:r>
            <m:r>
              <m:t>t</m:t>
            </m:r>
          </m:sub>
        </m:sSub>
      </m:oMath>
      <w:r>
        <w:t xml:space="preserve"> </w:t>
      </w:r>
      <w:r>
        <w:t xml:space="preserve">is the change</w:t>
      </w:r>
      <w:r>
        <w:t xml:space="preserve"> </w:t>
      </w:r>
      <w:r>
        <w:t xml:space="preserve">in employment over the period</w:t>
      </w:r>
      <w:r>
        <w:t xml:space="preserve"> </w:t>
      </w:r>
      <m:oMath>
        <m:r>
          <m:t>t</m:t>
        </m:r>
      </m:oMath>
      <w:r>
        <w:t xml:space="preserve">, and</w:t>
      </w:r>
      <w:r>
        <w:t xml:space="preserve"> </w:t>
      </w:r>
      <m:oMath>
        <m:sSub>
          <m:e>
            <m:r>
              <m:t>X</m:t>
            </m:r>
          </m:e>
          <m:sub>
            <m:r>
              <m:t>i</m:t>
            </m:r>
            <m:r>
              <m:rPr>
                <m:sty m:val="p"/>
              </m:rPr>
              <m:t>,</m:t>
            </m:r>
            <m:r>
              <m:t>t</m:t>
            </m:r>
          </m:sub>
        </m:sSub>
      </m:oMath>
      <w:r>
        <w:t xml:space="preserve"> </w:t>
      </w:r>
      <w:r>
        <w:t xml:space="preserve">is a vector of conventional</w:t>
      </w:r>
      <w:r>
        <w:t xml:space="preserve"> </w:t>
      </w:r>
      <w:r>
        <w:t xml:space="preserve">automation-exposure controls — the GPT-exposure scores of</w:t>
      </w:r>
      <w:r>
        <w:t xml:space="preserve"> </w:t>
      </w:r>
      <w:r>
        <w:t xml:space="preserve">Eloundou et al. (2023)</w:t>
      </w:r>
      <w:r>
        <w:t xml:space="preserve"> </w:t>
      </w:r>
      <w:r>
        <w:t xml:space="preserve">and the routinisability scores of</w:t>
      </w:r>
      <w:r>
        <w:t xml:space="preserve"> </w:t>
      </w:r>
      <w:r>
        <w:t xml:space="preserve">Acemoglu and Restrepo (2020)</w:t>
      </w:r>
      <w:r>
        <w:t xml:space="preserve">. H4 predicts</w:t>
      </w:r>
      <w:r>
        <w:t xml:space="preserve"> </w:t>
      </w:r>
      <m:oMath>
        <m:r>
          <m:t>β</m:t>
        </m:r>
        <m:r>
          <m:rPr>
            <m:sty m:val="p"/>
          </m:rPr>
          <m:t>&lt;</m:t>
        </m:r>
        <m:r>
          <m:t>0</m:t>
        </m:r>
      </m:oMath>
      <w:r>
        <w:t xml:space="preserve">:</w:t>
      </w:r>
      <w:r>
        <w:t xml:space="preserve"> </w:t>
      </w:r>
      <w:r>
        <w:t xml:space="preserve">occupations with larger entropy-production gaps lose employment faster, even</w:t>
      </w:r>
      <w:r>
        <w:t xml:space="preserve"> </w:t>
      </w:r>
      <w:r>
        <w:t xml:space="preserve">after conditioning on conventional automation-exposure measures.</w:t>
      </w:r>
    </w:p>
    <w:p>
      <w:pPr>
        <w:pStyle w:val="BodyText"/>
      </w:pPr>
      <w:r>
        <w:t xml:space="preserve">The data sources are:</w:t>
      </w:r>
    </w:p>
    <w:p>
      <w:pPr>
        <w:pStyle w:val="Compact"/>
        <w:numPr>
          <w:ilvl w:val="0"/>
          <w:numId w:val="1002"/>
        </w:numPr>
      </w:pPr>
      <w:r>
        <w:t xml:space="preserve">O*NET 28.0 (US Department of Labor) — occupational characteristics, physical</w:t>
      </w:r>
      <w:r>
        <w:t xml:space="preserve"> </w:t>
      </w:r>
      <w:r>
        <w:t xml:space="preserve">demands.</w:t>
      </w:r>
    </w:p>
    <w:p>
      <w:pPr>
        <w:pStyle w:val="Compact"/>
        <w:numPr>
          <w:ilvl w:val="0"/>
          <w:numId w:val="1002"/>
        </w:numPr>
      </w:pPr>
      <w:r>
        <w:t xml:space="preserve">US Bureau of Labor Statistics OEWS — employment levels and changes by SOC</w:t>
      </w:r>
      <w:r>
        <w:t xml:space="preserve"> </w:t>
      </w:r>
      <w:r>
        <w:t xml:space="preserve">code, 2019–2025.</w:t>
      </w:r>
    </w:p>
    <w:p>
      <w:pPr>
        <w:pStyle w:val="Compact"/>
        <w:numPr>
          <w:ilvl w:val="0"/>
          <w:numId w:val="1002"/>
        </w:numPr>
      </w:pPr>
      <w:r>
        <w:t xml:space="preserve">MET reference data — Ainsworth Compendium of Physical Activities.</w:t>
      </w:r>
    </w:p>
    <w:p>
      <w:pPr>
        <w:pStyle w:val="Compact"/>
        <w:numPr>
          <w:ilvl w:val="0"/>
          <w:numId w:val="1002"/>
        </w:numPr>
      </w:pPr>
      <w:r>
        <w:t xml:space="preserve">AI energy footprint —</w:t>
      </w:r>
      <w:r>
        <w:t xml:space="preserve"> </w:t>
      </w:r>
      <w:r>
        <w:t xml:space="preserve">Patterson et al. (2021)</w:t>
      </w:r>
      <w:r>
        <w:t xml:space="preserve">,</w:t>
      </w:r>
      <w:r>
        <w:t xml:space="preserve"> </w:t>
      </w:r>
      <w:r>
        <w:t xml:space="preserve">Vries (2023)</w:t>
      </w:r>
      <w:r>
        <w:t xml:space="preserve">,</w:t>
      </w:r>
    </w:p>
    <w:p>
      <w:pPr>
        <w:pStyle w:val="Compact"/>
        <w:numPr>
          <w:ilvl w:val="0"/>
          <w:numId w:val="1002"/>
        </w:numPr>
      </w:pPr>
      <w:r>
        <w:t xml:space="preserve">GPT-exposure scores —</w:t>
      </w:r>
      <w:r>
        <w:t xml:space="preserve"> </w:t>
      </w:r>
      <w:r>
        <w:t xml:space="preserve">Eloundou et al. (2023)</w:t>
      </w:r>
      <w:r>
        <w:t xml:space="preserve"> </w:t>
      </w:r>
      <w:r>
        <w:t xml:space="preserve">replication data.</w:t>
      </w:r>
    </w:p>
    <w:p>
      <w:pPr>
        <w:pStyle w:val="FirstParagraph"/>
      </w:pPr>
      <w:r>
        <w:t xml:space="preserve">Identification rests on within-occupation variation in employment over time,</w:t>
      </w:r>
      <w:r>
        <w:t xml:space="preserve"> </w:t>
      </w:r>
      <w:r>
        <w:t xml:space="preserve">controlling for the conventional exposure measures. We expect</w:t>
      </w:r>
      <w:r>
        <w:t xml:space="preserve"> </w:t>
      </w:r>
      <m:oMath>
        <m:r>
          <m:t>β</m:t>
        </m:r>
      </m:oMath>
      <w:r>
        <w:t xml:space="preserve"> </w:t>
      </w:r>
      <w:r>
        <w:t xml:space="preserve">to be</w:t>
      </w:r>
      <w:r>
        <w:t xml:space="preserve"> </w:t>
      </w:r>
      <w:r>
        <w:t xml:space="preserve">attenuated rather than zero in the conditional specification, because EPA and</w:t>
      </w:r>
      <w:r>
        <w:t xml:space="preserve"> </w:t>
      </w:r>
      <w:r>
        <w:t xml:space="preserve">GPT-exposure are correlated by construction.</w:t>
      </w:r>
    </w:p>
    <w:bookmarkEnd w:id="17"/>
    <w:bookmarkStart w:id="18" w:name="illustrative-case-study"/>
    <w:p>
      <w:pPr>
        <w:pStyle w:val="Heading1"/>
      </w:pPr>
      <w:r>
        <w:t xml:space="preserve">6. Illustrative Case Study</w:t>
      </w:r>
    </w:p>
    <w:p>
      <w:pPr>
        <w:pStyle w:val="FirstParagraph"/>
      </w:pPr>
      <w:r>
        <w:t xml:space="preserve">Consider two extremes. A US call-center agent (SOC 43-2011) handling</w:t>
      </w:r>
      <w:r>
        <w:t xml:space="preserve"> </w:t>
      </w:r>
      <w:r>
        <w:t xml:space="preserve">roughly 100 calls in an 8-hour shift expends approximately 120 kcal/h of</w:t>
      </w:r>
      <w:r>
        <w:t xml:space="preserve"> </w:t>
      </w:r>
      <w:r>
        <w:t xml:space="preserve">metabolic energy, or ≈ 5 × 10⁵ J/h. The same task volume, processed by a</w:t>
      </w:r>
      <w:r>
        <w:t xml:space="preserve"> </w:t>
      </w:r>
      <w:r>
        <w:t xml:space="preserve">contemporary LLM-based voice agent, dissipates roughly 50 Wh per 100</w:t>
      </w:r>
      <w:r>
        <w:t xml:space="preserve"> </w:t>
      </w:r>
      <w:r>
        <w:t xml:space="preserve">conversations (inference plus amortised training, scaled from</w:t>
      </w:r>
      <w:r>
        <w:t xml:space="preserve"> </w:t>
      </w:r>
      <w:r>
        <w:t xml:space="preserve">Vries (2023)</w:t>
      </w:r>
      <w:r>
        <w:t xml:space="preserve">), implying ≈ 1.8 × 10⁷ J/h of energy throughput in</w:t>
      </w:r>
      <w:r>
        <w:t xml:space="preserve"> </w:t>
      </w:r>
      <w:r>
        <w:t xml:space="preserve">the substitute system — an EPA of approximately +1.75 × 10⁷ J/h. The</w:t>
      </w:r>
      <w:r>
        <w:t xml:space="preserve"> </w:t>
      </w:r>
      <w:r>
        <w:t xml:space="preserve">corresponding US BLS Occupational Employment series shows a contraction</w:t>
      </w:r>
      <w:r>
        <w:t xml:space="preserve"> </w:t>
      </w:r>
      <w:r>
        <w:t xml:space="preserve">of approximately 7 % per year for this SOC code since 2022, consistent</w:t>
      </w:r>
      <w:r>
        <w:t xml:space="preserve"> </w:t>
      </w:r>
      <w:r>
        <w:t xml:space="preserve">with H4.</w:t>
      </w:r>
    </w:p>
    <w:p>
      <w:pPr>
        <w:pStyle w:val="BodyText"/>
      </w:pPr>
      <w:r>
        <w:t xml:space="preserve">By contrast, a journeyman plumber (SOC 47-2152) expends approximately</w:t>
      </w:r>
      <w:r>
        <w:t xml:space="preserve"> </w:t>
      </w:r>
      <w:r>
        <w:t xml:space="preserve">280 kcal/h, or ≈ 1.2 × 10⁶ J/h, while an analogous physical-task robot</w:t>
      </w:r>
      <w:r>
        <w:t xml:space="preserve"> </w:t>
      </w:r>
      <w:r>
        <w:t xml:space="preserve">would require comparable or marginally lower power at current actuator</w:t>
      </w:r>
      <w:r>
        <w:t xml:space="preserve"> </w:t>
      </w:r>
      <w:r>
        <w:t xml:space="preserve">efficiency, yielding an EPA close to zero. Plumbing employment grew by</w:t>
      </w:r>
      <w:r>
        <w:t xml:space="preserve"> </w:t>
      </w:r>
      <w:r>
        <w:t xml:space="preserve">approximately 2 % per year over the same period, again consistent with</w:t>
      </w:r>
      <w:r>
        <w:t xml:space="preserve"> </w:t>
      </w:r>
      <w:r>
        <w:t xml:space="preserve">H4. The thermodynamic gap is plainly not the only driver — capability,</w:t>
      </w:r>
      <w:r>
        <w:t xml:space="preserve"> </w:t>
      </w:r>
      <w:r>
        <w:t xml:space="preserve">capital cost, training pipelines, and licensing barriers all matter —</w:t>
      </w:r>
      <w:r>
        <w:t xml:space="preserve"> </w:t>
      </w:r>
      <w:r>
        <w:t xml:space="preserve">but its sign and magnitude track the direction of the displacement</w:t>
      </w:r>
      <w:r>
        <w:t xml:space="preserve"> </w:t>
      </w:r>
      <w:r>
        <w:t xml:space="preserve">signal in both cases. A formal analysis across all 800-odd SOC codes is</w:t>
      </w:r>
      <w:r>
        <w:t xml:space="preserve"> </w:t>
      </w:r>
      <w:r>
        <w:t xml:space="preserve">the subject of §5.</w:t>
      </w:r>
    </w:p>
    <w:bookmarkEnd w:id="18"/>
    <w:bookmarkStart w:id="19" w:name="discussion"/>
    <w:p>
      <w:pPr>
        <w:pStyle w:val="Heading1"/>
      </w:pPr>
      <w:r>
        <w:t xml:space="preserve">7. Discussion</w:t>
      </w:r>
    </w:p>
    <w:p>
      <w:pPr>
        <w:pStyle w:val="FirstParagraph"/>
      </w:pPr>
      <w:r>
        <w:t xml:space="preserve">The hypothesis advanced here is consistent with — and strengthens the</w:t>
      </w:r>
      <w:r>
        <w:t xml:space="preserve"> </w:t>
      </w:r>
      <w:r>
        <w:t xml:space="preserve">empirical content of — the dissipative-adaptation programme. If H4 survives</w:t>
      </w:r>
      <w:r>
        <w:t xml:space="preserve"> </w:t>
      </w:r>
      <w:r>
        <w:t xml:space="preserve">empirical scrutiny, several consequences follow.</w:t>
      </w:r>
    </w:p>
    <w:p>
      <w:pPr>
        <w:pStyle w:val="BodyText"/>
      </w:pPr>
      <w:r>
        <w:rPr>
          <w:b/>
          <w:bCs/>
        </w:rPr>
        <w:t xml:space="preserve">Theoretical.</w:t>
      </w:r>
      <w:r>
        <w:t xml:space="preserve"> </w:t>
      </w:r>
      <w:r>
        <w:t xml:space="preserve">AI is not a categorical break from biological evolution; it is</w:t>
      </w:r>
      <w:r>
        <w:t xml:space="preserve"> </w:t>
      </w:r>
      <w:r>
        <w:t xml:space="preserve">a continuation along the same MEPP-driven trajectory, with humans serving as</w:t>
      </w:r>
      <w:r>
        <w:t xml:space="preserve"> </w:t>
      </w:r>
      <w:r>
        <w:t xml:space="preserve">the upstream construction substrate. The labor market becomes a thermodynamic</w:t>
      </w:r>
      <w:r>
        <w:t xml:space="preserve"> </w:t>
      </w:r>
      <w:r>
        <w:t xml:space="preserve">phenomenon as much as an economic one.</w:t>
      </w:r>
    </w:p>
    <w:p>
      <w:pPr>
        <w:pStyle w:val="BodyText"/>
      </w:pPr>
      <w:r>
        <w:rPr>
          <w:b/>
          <w:bCs/>
        </w:rPr>
        <w:t xml:space="preserve">Predictive.</w:t>
      </w:r>
      <w:r>
        <w:t xml:space="preserve"> </w:t>
      </w:r>
      <w:r>
        <w:t xml:space="preserve">H4 implies that occupations currently celebrated as</w:t>
      </w:r>
      <w:r>
        <w:t xml:space="preserve"> </w:t>
      </w:r>
      <w:r>
        <w:t xml:space="preserve">“AI-proof”</w:t>
      </w:r>
      <w:r>
        <w:t xml:space="preserve"> </w:t>
      </w:r>
      <w:r>
        <w:t xml:space="preserve">because they are physical (plumbing, nursing, mechanical repair) are not</w:t>
      </w:r>
      <w:r>
        <w:t xml:space="preserve"> </w:t>
      </w:r>
      <w:r>
        <w:t xml:space="preserve">permanently safe. They are slow-substitution targets because the entropy gap</w:t>
      </w:r>
      <w:r>
        <w:t xml:space="preserve"> </w:t>
      </w:r>
      <w:r>
        <w:t xml:space="preserve">is small at present hardware costs; as the cost of dissipation per joule falls</w:t>
      </w:r>
      <w:r>
        <w:t xml:space="preserve"> </w:t>
      </w:r>
      <w:r>
        <w:t xml:space="preserve">(cheaper electricity, more efficient actuators), the gap widens and these</w:t>
      </w:r>
      <w:r>
        <w:t xml:space="preserve"> </w:t>
      </w:r>
      <w:r>
        <w:t xml:space="preserve">occupations follow.</w:t>
      </w:r>
    </w:p>
    <w:p>
      <w:pPr>
        <w:pStyle w:val="BodyText"/>
      </w:pPr>
      <w:r>
        <w:rPr>
          <w:b/>
          <w:bCs/>
        </w:rPr>
        <w:t xml:space="preserve">Policy.</w:t>
      </w:r>
      <w:r>
        <w:t xml:space="preserve"> </w:t>
      </w:r>
      <w:r>
        <w:t xml:space="preserve">If displacement order is partially thermodynamic, redistribution</w:t>
      </w:r>
      <w:r>
        <w:t xml:space="preserve"> </w:t>
      </w:r>
      <w:r>
        <w:t xml:space="preserve">policies — universal basic income, retraining programmes — should be designed</w:t>
      </w:r>
      <w:r>
        <w:t xml:space="preserve"> </w:t>
      </w:r>
      <w:r>
        <w:t xml:space="preserve">against the predicted</w:t>
      </w:r>
      <w:r>
        <w:t xml:space="preserve"> </w:t>
      </w:r>
      <w:r>
        <w:rPr>
          <w:i/>
          <w:iCs/>
        </w:rPr>
        <w:t xml:space="preserve">order</w:t>
      </w:r>
      <w:r>
        <w:t xml:space="preserve">, not against current snapshots. The framework</w:t>
      </w:r>
      <w:r>
        <w:t xml:space="preserve"> </w:t>
      </w:r>
      <w:r>
        <w:t xml:space="preserve">also reframes the carbon footprint of AI: high entropy production is, in MEPP</w:t>
      </w:r>
      <w:r>
        <w:t xml:space="preserve"> </w:t>
      </w:r>
      <w:r>
        <w:t xml:space="preserve">terms, the</w:t>
      </w:r>
      <w:r>
        <w:t xml:space="preserve"> </w:t>
      </w:r>
      <w:r>
        <w:rPr>
          <w:i/>
          <w:iCs/>
        </w:rPr>
        <w:t xml:space="preserve">feature</w:t>
      </w:r>
      <w:r>
        <w:t xml:space="preserve"> </w:t>
      </w:r>
      <w:r>
        <w:t xml:space="preserve">that selects the technology, not a bug to be optimised</w:t>
      </w:r>
      <w:r>
        <w:t xml:space="preserve"> </w:t>
      </w:r>
      <w:r>
        <w:t xml:space="preserve">away.</w:t>
      </w:r>
    </w:p>
    <w:p>
      <w:pPr>
        <w:pStyle w:val="BodyText"/>
      </w:pPr>
      <w:r>
        <w:rPr>
          <w:b/>
          <w:bCs/>
        </w:rPr>
        <w:t xml:space="preserve">Limitations.</w:t>
      </w:r>
    </w:p>
    <w:p>
      <w:pPr>
        <w:numPr>
          <w:ilvl w:val="0"/>
          <w:numId w:val="1004"/>
        </w:numPr>
      </w:pPr>
      <w:r>
        <w:t xml:space="preserve">MEPP remains a heuristic, not a theorem; counterexamples exist</w:t>
      </w:r>
      <w:r>
        <w:t xml:space="preserve"> </w:t>
      </w:r>
      <w:r>
        <w:t xml:space="preserve">(see Martyushev and Seleznev 2006 for review)</w:t>
      </w:r>
      <w:r>
        <w:t xml:space="preserve">.</w:t>
      </w:r>
    </w:p>
    <w:p>
      <w:pPr>
        <w:numPr>
          <w:ilvl w:val="0"/>
          <w:numId w:val="1004"/>
        </w:numPr>
      </w:pPr>
      <w:r>
        <w:t xml:space="preserve">The proximate driver of substitution is cost, not energy. We conjecture</w:t>
      </w:r>
      <w:r>
        <w:t xml:space="preserve"> </w:t>
      </w:r>
      <w:r>
        <w:t xml:space="preserve">that cost tracks energy at long horizons</w:t>
      </w:r>
      <w:r>
        <w:t xml:space="preserve"> </w:t>
      </w:r>
      <w:r>
        <w:t xml:space="preserve">(Garrett 2014)</w:t>
      </w:r>
      <w:r>
        <w:t xml:space="preserve"> </w:t>
      </w:r>
      <w:r>
        <w:t xml:space="preserve">but do not prove</w:t>
      </w:r>
      <w:r>
        <w:t xml:space="preserve"> </w:t>
      </w:r>
      <w:r>
        <w:t xml:space="preserve">this here.</w:t>
      </w:r>
    </w:p>
    <w:p>
      <w:pPr>
        <w:numPr>
          <w:ilvl w:val="0"/>
          <w:numId w:val="1004"/>
        </w:numPr>
      </w:pPr>
      <w:r>
        <w:t xml:space="preserve">The cosmological motivation in §2.3 is genuinely speculative and is</w:t>
      </w:r>
      <w:r>
        <w:t xml:space="preserve"> </w:t>
      </w:r>
      <w:r>
        <w:t xml:space="preserve">explicitly not load-bearing for H4.</w:t>
      </w:r>
    </w:p>
    <w:p>
      <w:pPr>
        <w:numPr>
          <w:ilvl w:val="0"/>
          <w:numId w:val="1004"/>
        </w:numPr>
      </w:pPr>
      <w:r>
        <w:t xml:space="preserve">Selection effects in BLS occupational data — reclassification, gig-</w:t>
      </w:r>
      <w:r>
        <w:t xml:space="preserve"> </w:t>
      </w:r>
      <w:r>
        <w:t xml:space="preserve">economy invisibility, off-shoring — may bias the regression. Robustness checks</w:t>
      </w:r>
      <w:r>
        <w:t xml:space="preserve"> </w:t>
      </w:r>
      <w:r>
        <w:t xml:space="preserve">using alternative employment series (CPS, ADP) are advisable.</w:t>
      </w:r>
    </w:p>
    <w:p>
      <w:pPr>
        <w:numPr>
          <w:ilvl w:val="0"/>
          <w:numId w:val="1004"/>
        </w:numPr>
      </w:pPr>
      <w:r>
        <w:t xml:space="preserve">The framework is silent on welfare. A thermodynamically favoured outcome</w:t>
      </w:r>
      <w:r>
        <w:t xml:space="preserve"> </w:t>
      </w:r>
      <w:r>
        <w:t xml:space="preserve">is not, on that account, a desirable outcome.</w:t>
      </w:r>
    </w:p>
    <w:bookmarkEnd w:id="19"/>
    <w:bookmarkStart w:id="20" w:name="conclusion"/>
    <w:p>
      <w:pPr>
        <w:pStyle w:val="Heading1"/>
      </w:pPr>
      <w:r>
        <w:t xml:space="preserve">8. Conclusion</w:t>
      </w:r>
    </w:p>
    <w:p>
      <w:pPr>
        <w:pStyle w:val="FirstParagraph"/>
      </w:pPr>
      <w:r>
        <w:t xml:space="preserve">We have argued that the thermodynamic lens — specifically, the</w:t>
      </w:r>
      <w:r>
        <w:t xml:space="preserve"> </w:t>
      </w:r>
      <w:r>
        <w:t xml:space="preserve">difference in entropy production between a human worker and an AI</w:t>
      </w:r>
      <w:r>
        <w:t xml:space="preserve"> </w:t>
      </w:r>
      <w:r>
        <w:t xml:space="preserve">substitute — provides a partial but novel predictor of the temporal</w:t>
      </w:r>
      <w:r>
        <w:t xml:space="preserve"> </w:t>
      </w:r>
      <w:r>
        <w:t xml:space="preserve">ordering of AI-driven occupational displacement, beyond what</w:t>
      </w:r>
      <w:r>
        <w:t xml:space="preserve"> </w:t>
      </w:r>
      <w:r>
        <w:t xml:space="preserve">conventional capability-based exposure measures explain. The empirical</w:t>
      </w:r>
      <w:r>
        <w:t xml:space="preserve"> </w:t>
      </w:r>
      <w:r>
        <w:t xml:space="preserve">content of the claim is contained entirely in</w:t>
      </w:r>
      <w:r>
        <w:t xml:space="preserve"> </w:t>
      </w:r>
      <w:r>
        <w:rPr>
          <w:b/>
          <w:bCs/>
        </w:rPr>
        <w:t xml:space="preserve">H4</w:t>
      </w:r>
      <w:r>
        <w:t xml:space="preserve">, which is testable</w:t>
      </w:r>
      <w:r>
        <w:t xml:space="preserve"> </w:t>
      </w:r>
      <w:r>
        <w:t xml:space="preserve">on US BLS data using the metabolic-baseline operationalisation developed</w:t>
      </w:r>
      <w:r>
        <w:t xml:space="preserve"> </w:t>
      </w:r>
      <w:r>
        <w:t xml:space="preserve">in §4. The cosmological proposals invoked in §2.3 are not load-bearing</w:t>
      </w:r>
      <w:r>
        <w:t xml:space="preserve"> </w:t>
      </w:r>
      <w:r>
        <w:t xml:space="preserve">for this claim. If the prediction survives empirical scrutiny, the</w:t>
      </w:r>
      <w:r>
        <w:t xml:space="preserve"> </w:t>
      </w:r>
      <w:r>
        <w:t xml:space="preserve">policy implication is that redistribution and retraining programmes</w:t>
      </w:r>
      <w:r>
        <w:t xml:space="preserve"> </w:t>
      </w:r>
      <w:r>
        <w:t xml:space="preserve">should be designed against the thermodynamic order of substitution, not</w:t>
      </w:r>
      <w:r>
        <w:t xml:space="preserve"> </w:t>
      </w:r>
      <w:r>
        <w:t xml:space="preserve">against current snapshots — and that the high energy footprint of AI</w:t>
      </w:r>
      <w:r>
        <w:t xml:space="preserve"> </w:t>
      </w:r>
      <w:r>
        <w:t xml:space="preserve">is, under MEPP, a feature that selects the technology rather than a bug</w:t>
      </w:r>
      <w:r>
        <w:t xml:space="preserve"> </w:t>
      </w:r>
      <w:r>
        <w:t xml:space="preserve">to be optimised away.</w:t>
      </w:r>
    </w:p>
    <w:p>
      <w:pPr>
        <w:pStyle w:val="BodyText"/>
      </w:pPr>
      <w:r>
        <w:t xml:space="preserve">This is a preliminary statement (v0.1). Subsequent versions will</w:t>
      </w:r>
      <w:r>
        <w:t xml:space="preserve"> </w:t>
      </w:r>
      <w:r>
        <w:t xml:space="preserve">incorporate the full BLS regression, sensitivity analyses across the</w:t>
      </w:r>
      <w:r>
        <w:t xml:space="preserve"> </w:t>
      </w:r>
      <w:r>
        <w:t xml:space="preserve">three operational definitions of §4, and a broader case set than the</w:t>
      </w:r>
      <w:r>
        <w:t xml:space="preserve"> </w:t>
      </w:r>
      <w:r>
        <w:t xml:space="preserve">two-occupation comparison in §6.</w:t>
      </w:r>
    </w:p>
    <w:bookmarkEnd w:id="20"/>
    <w:bookmarkStart w:id="53" w:name="references"/>
    <w:p>
      <w:pPr>
        <w:pStyle w:val="Heading1"/>
      </w:pPr>
      <w:r>
        <w:t xml:space="preserve">References</w:t>
      </w:r>
    </w:p>
    <w:p>
      <w:pPr>
        <w:pStyle w:val="FirstParagraph"/>
      </w:pPr>
      <w:r>
        <w:t xml:space="preserve">(Compiled from</w:t>
      </w:r>
      <w:r>
        <w:t xml:space="preserve"> </w:t>
      </w:r>
      <w:r>
        <w:rPr>
          <w:rStyle w:val="VerbatimChar"/>
        </w:rPr>
        <w:t xml:space="preserve">references.bib</w:t>
      </w:r>
      <w:r>
        <w:t xml:space="preserve"> </w:t>
      </w:r>
      <w:r>
        <w:t xml:space="preserve">via</w:t>
      </w:r>
      <w:r>
        <w:t xml:space="preserve"> </w:t>
      </w:r>
      <w:r>
        <w:rPr>
          <w:rStyle w:val="VerbatimChar"/>
        </w:rPr>
        <w:t xml:space="preserve">pandoc --citeproc</w:t>
      </w:r>
      <w:r>
        <w:t xml:space="preserve">.)</w:t>
      </w:r>
    </w:p>
    <w:bookmarkStart w:id="52" w:name="refs"/>
    <w:bookmarkStart w:id="22" w:name="ref-acemoglu2020robots"/>
    <w:p>
      <w:pPr>
        <w:pStyle w:val="Bibliography"/>
      </w:pPr>
      <w:r>
        <w:t xml:space="preserve">Acemoglu, Daron, and Pascual Restrepo. 2020.</w:t>
      </w:r>
      <w:r>
        <w:t xml:space="preserve"> </w:t>
      </w:r>
      <w:r>
        <w:t xml:space="preserve">“Robots and Jobs: Evidence from</w:t>
      </w:r>
      <w:r>
        <w:t xml:space="preserve"> </w:t>
      </w:r>
      <w:r>
        <w:t xml:space="preserve">US</w:t>
      </w:r>
      <w:r>
        <w:t xml:space="preserve"> </w:t>
      </w:r>
      <w:r>
        <w:t xml:space="preserve">Labor Markets.”</w:t>
      </w:r>
      <w:r>
        <w:t xml:space="preserve"> </w:t>
      </w:r>
      <w:r>
        <w:rPr>
          <w:i/>
          <w:iCs/>
        </w:rPr>
        <w:t xml:space="preserve">Journal of Political Economy</w:t>
      </w:r>
      <w:r>
        <w:t xml:space="preserve"> </w:t>
      </w:r>
      <w:r>
        <w:t xml:space="preserve">128 (6): 2188–244.</w:t>
      </w:r>
      <w:r>
        <w:t xml:space="preserve"> </w:t>
      </w:r>
      <w:hyperlink r:id="rId21">
        <w:r>
          <w:rPr>
            <w:rStyle w:val="Hyperlink"/>
          </w:rPr>
          <w:t xml:space="preserve">https://doi.org/10.1086/705716</w:t>
        </w:r>
      </w:hyperlink>
      <w:r>
        <w:t xml:space="preserve">.</w:t>
      </w:r>
    </w:p>
    <w:bookmarkEnd w:id="22"/>
    <w:bookmarkStart w:id="24" w:name="ref-crane1994possible"/>
    <w:p>
      <w:pPr>
        <w:pStyle w:val="Bibliography"/>
      </w:pPr>
      <w:r>
        <w:t xml:space="preserve">Crane, Louis. 1994.</w:t>
      </w:r>
      <w:r>
        <w:t xml:space="preserve"> </w:t>
      </w:r>
      <w:r>
        <w:t xml:space="preserve">“Possible Implications of the Quantum Theory of Gravity: An Introduction to the Meduso-Anthropic Principle.”</w:t>
      </w:r>
      <w:r>
        <w:t xml:space="preserve"> </w:t>
      </w:r>
      <w:r>
        <w:rPr>
          <w:i/>
          <w:iCs/>
        </w:rPr>
        <w:t xml:space="preserve">arXiv Preprint Hep-Th/9402104</w:t>
      </w:r>
      <w:r>
        <w:t xml:space="preserve">.</w:t>
      </w:r>
      <w:r>
        <w:t xml:space="preserve"> </w:t>
      </w:r>
      <w:hyperlink r:id="rId23">
        <w:r>
          <w:rPr>
            <w:rStyle w:val="Hyperlink"/>
          </w:rPr>
          <w:t xml:space="preserve">https://arxiv.org/abs/hep-th/9402104</w:t>
        </w:r>
      </w:hyperlink>
      <w:r>
        <w:t xml:space="preserve">.</w:t>
      </w:r>
    </w:p>
    <w:bookmarkEnd w:id="24"/>
    <w:bookmarkStart w:id="26" w:name="ref-eloundou2023gpts"/>
    <w:p>
      <w:pPr>
        <w:pStyle w:val="Bibliography"/>
      </w:pPr>
      <w:r>
        <w:t xml:space="preserve">Eloundou, Tyna, Sam Manning, Pamela Mishkin, and Daniel Rock. 2023.</w:t>
      </w:r>
      <w:r>
        <w:t xml:space="preserve"> </w:t>
      </w:r>
      <w:r>
        <w:rPr>
          <w:i/>
          <w:iCs/>
        </w:rPr>
        <w:t xml:space="preserve">GPTs</w:t>
      </w:r>
      <w:r>
        <w:rPr>
          <w:i/>
          <w:iCs/>
        </w:rPr>
        <w:t xml:space="preserve"> </w:t>
      </w:r>
      <w:r>
        <w:rPr>
          <w:i/>
          <w:iCs/>
        </w:rPr>
        <w:t xml:space="preserve">Are</w:t>
      </w:r>
      <w:r>
        <w:rPr>
          <w:i/>
          <w:iCs/>
        </w:rPr>
        <w:t xml:space="preserve"> </w:t>
      </w:r>
      <w:r>
        <w:rPr>
          <w:i/>
          <w:iCs/>
        </w:rPr>
        <w:t xml:space="preserve">GPTs</w:t>
      </w:r>
      <w:r>
        <w:rPr>
          <w:i/>
          <w:iCs/>
        </w:rPr>
        <w:t xml:space="preserve">: An Early Look at the Labor Market Impact Potential of Large Language Models</w:t>
      </w:r>
      <w:r>
        <w:t xml:space="preserve">. arXiv:2303.10130.</w:t>
      </w:r>
      <w:r>
        <w:t xml:space="preserve"> </w:t>
      </w:r>
      <w:hyperlink r:id="rId25">
        <w:r>
          <w:rPr>
            <w:rStyle w:val="Hyperlink"/>
          </w:rPr>
          <w:t xml:space="preserve">https://arxiv.org/abs/2303.10130</w:t>
        </w:r>
      </w:hyperlink>
      <w:r>
        <w:t xml:space="preserve">.</w:t>
      </w:r>
    </w:p>
    <w:bookmarkEnd w:id="26"/>
    <w:bookmarkStart w:id="28" w:name="ref-england2013statistical"/>
    <w:p>
      <w:pPr>
        <w:pStyle w:val="Bibliography"/>
      </w:pPr>
      <w:r>
        <w:t xml:space="preserve">England, Jeremy L. 2013.</w:t>
      </w:r>
      <w:r>
        <w:t xml:space="preserve"> </w:t>
      </w:r>
      <w:r>
        <w:t xml:space="preserve">“Statistical Physics of Self-Replication.”</w:t>
      </w:r>
      <w:r>
        <w:t xml:space="preserve"> </w:t>
      </w:r>
      <w:r>
        <w:rPr>
          <w:i/>
          <w:iCs/>
        </w:rPr>
        <w:t xml:space="preserve">The Journal of Chemical Physics</w:t>
      </w:r>
      <w:r>
        <w:t xml:space="preserve"> </w:t>
      </w:r>
      <w:r>
        <w:t xml:space="preserve">139 (12): 121923.</w:t>
      </w:r>
      <w:r>
        <w:t xml:space="preserve"> </w:t>
      </w:r>
      <w:hyperlink r:id="rId27">
        <w:r>
          <w:rPr>
            <w:rStyle w:val="Hyperlink"/>
          </w:rPr>
          <w:t xml:space="preserve">https://doi.org/10.1063/1.4818538</w:t>
        </w:r>
      </w:hyperlink>
      <w:r>
        <w:t xml:space="preserve">.</w:t>
      </w:r>
    </w:p>
    <w:bookmarkEnd w:id="28"/>
    <w:bookmarkStart w:id="30" w:name="ref-garrett2014long"/>
    <w:p>
      <w:pPr>
        <w:pStyle w:val="Bibliography"/>
      </w:pPr>
      <w:r>
        <w:t xml:space="preserve">Garrett, Timothy J. 2014.</w:t>
      </w:r>
      <w:r>
        <w:t xml:space="preserve"> </w:t>
      </w:r>
      <w:r>
        <w:t xml:space="preserve">“Long-Run Evolution of the Global Economy: 1.</w:t>
      </w:r>
      <w:r>
        <w:t xml:space="preserve"> </w:t>
      </w:r>
      <w:r>
        <w:t xml:space="preserve">Physical</w:t>
      </w:r>
      <w:r>
        <w:t xml:space="preserve"> </w:t>
      </w:r>
      <w:r>
        <w:t xml:space="preserve">Basis.”</w:t>
      </w:r>
      <w:r>
        <w:t xml:space="preserve"> </w:t>
      </w:r>
      <w:r>
        <w:rPr>
          <w:i/>
          <w:iCs/>
        </w:rPr>
        <w:t xml:space="preserve">Earth’s Future</w:t>
      </w:r>
      <w:r>
        <w:t xml:space="preserve"> </w:t>
      </w:r>
      <w:r>
        <w:t xml:space="preserve">2 (3): 127–51.</w:t>
      </w:r>
      <w:r>
        <w:t xml:space="preserve"> </w:t>
      </w:r>
      <w:hyperlink r:id="rId29">
        <w:r>
          <w:rPr>
            <w:rStyle w:val="Hyperlink"/>
          </w:rPr>
          <w:t xml:space="preserve">https://doi.org/10.1002/2013EF000171</w:t>
        </w:r>
      </w:hyperlink>
      <w:r>
        <w:t xml:space="preserve">.</w:t>
      </w:r>
    </w:p>
    <w:bookmarkEnd w:id="30"/>
    <w:bookmarkStart w:id="31" w:name="ref-goldmansachs2023"/>
    <w:p>
      <w:pPr>
        <w:pStyle w:val="Bibliography"/>
      </w:pPr>
      <w:r>
        <w:t xml:space="preserve">Goldman Sachs Economics Research. 2023.</w:t>
      </w:r>
      <w:r>
        <w:t xml:space="preserve"> </w:t>
      </w:r>
      <w:r>
        <w:rPr>
          <w:i/>
          <w:iCs/>
        </w:rPr>
        <w:t xml:space="preserve">The Potentially Large Effects of Artificial Intelligence on Economic Growth</w:t>
      </w:r>
      <w:r>
        <w:t xml:space="preserve">. Goldman Sachs.</w:t>
      </w:r>
    </w:p>
    <w:bookmarkEnd w:id="31"/>
    <w:bookmarkStart w:id="33" w:name="ref-iea2024electricity"/>
    <w:p>
      <w:pPr>
        <w:pStyle w:val="Bibliography"/>
      </w:pPr>
      <w:r>
        <w:t xml:space="preserve">International Energy Agency. 2024.</w:t>
      </w:r>
      <w:r>
        <w:t xml:space="preserve"> </w:t>
      </w:r>
      <w:r>
        <w:rPr>
          <w:i/>
          <w:iCs/>
        </w:rPr>
        <w:t xml:space="preserve">Electricity 2024: Analysis and Forecast to 2026</w:t>
      </w:r>
      <w:r>
        <w:t xml:space="preserve">. IEA, Paris.</w:t>
      </w:r>
      <w:r>
        <w:t xml:space="preserve"> </w:t>
      </w:r>
      <w:hyperlink r:id="rId32">
        <w:r>
          <w:rPr>
            <w:rStyle w:val="Hyperlink"/>
          </w:rPr>
          <w:t xml:space="preserve">https://www.iea.org/reports/electricity-2024</w:t>
        </w:r>
      </w:hyperlink>
      <w:r>
        <w:t xml:space="preserve">.</w:t>
      </w:r>
    </w:p>
    <w:bookmarkEnd w:id="33"/>
    <w:bookmarkStart w:id="35" w:name="ref-kleidon2010nonequilibrium"/>
    <w:p>
      <w:pPr>
        <w:pStyle w:val="Bibliography"/>
      </w:pPr>
      <w:r>
        <w:t xml:space="preserve">Kleidon, Axel. 2010.</w:t>
      </w:r>
      <w:r>
        <w:t xml:space="preserve"> </w:t>
      </w:r>
      <w:r>
        <w:t xml:space="preserve">“Nonequilibrium Thermodynamics and Maximum Entropy Production in the</w:t>
      </w:r>
      <w:r>
        <w:t xml:space="preserve"> </w:t>
      </w:r>
      <w:r>
        <w:t xml:space="preserve">Earth</w:t>
      </w:r>
      <w:r>
        <w:t xml:space="preserve"> </w:t>
      </w:r>
      <w:r>
        <w:t xml:space="preserve">System.”</w:t>
      </w:r>
      <w:r>
        <w:t xml:space="preserve"> </w:t>
      </w:r>
      <w:r>
        <w:rPr>
          <w:i/>
          <w:iCs/>
        </w:rPr>
        <w:t xml:space="preserve">Naturwissenschaften</w:t>
      </w:r>
      <w:r>
        <w:t xml:space="preserve"> </w:t>
      </w:r>
      <w:r>
        <w:t xml:space="preserve">97: 653–77.</w:t>
      </w:r>
      <w:r>
        <w:t xml:space="preserve"> </w:t>
      </w:r>
      <w:hyperlink r:id="rId34">
        <w:r>
          <w:rPr>
            <w:rStyle w:val="Hyperlink"/>
          </w:rPr>
          <w:t xml:space="preserve">https://doi.org/10.1007/s00114-010-0697-4</w:t>
        </w:r>
      </w:hyperlink>
      <w:r>
        <w:t xml:space="preserve">.</w:t>
      </w:r>
    </w:p>
    <w:bookmarkEnd w:id="35"/>
    <w:bookmarkStart w:id="37" w:name="ref-lorenz2003reconsidered"/>
    <w:p>
      <w:pPr>
        <w:pStyle w:val="Bibliography"/>
      </w:pPr>
      <w:r>
        <w:t xml:space="preserve">Lorenz, Ralph D. 2003.</w:t>
      </w:r>
      <w:r>
        <w:t xml:space="preserve"> </w:t>
      </w:r>
      <w:r>
        <w:t xml:space="preserve">“Full Steam Ahead—Probably.”</w:t>
      </w:r>
      <w:r>
        <w:t xml:space="preserve"> </w:t>
      </w:r>
      <w:r>
        <w:rPr>
          <w:i/>
          <w:iCs/>
        </w:rPr>
        <w:t xml:space="preserve">Science</w:t>
      </w:r>
      <w:r>
        <w:t xml:space="preserve"> </w:t>
      </w:r>
      <w:r>
        <w:t xml:space="preserve">299 (5608): 837–38.</w:t>
      </w:r>
      <w:r>
        <w:t xml:space="preserve"> </w:t>
      </w:r>
      <w:hyperlink r:id="rId36">
        <w:r>
          <w:rPr>
            <w:rStyle w:val="Hyperlink"/>
          </w:rPr>
          <w:t xml:space="preserve">https://doi.org/10.1126/science.1081280</w:t>
        </w:r>
      </w:hyperlink>
      <w:r>
        <w:t xml:space="preserve">.</w:t>
      </w:r>
    </w:p>
    <w:bookmarkEnd w:id="37"/>
    <w:bookmarkStart w:id="39" w:name="ref-martyushev2006maximum"/>
    <w:p>
      <w:pPr>
        <w:pStyle w:val="Bibliography"/>
      </w:pPr>
      <w:r>
        <w:t xml:space="preserve">Martyushev, L. M., and V. D. Seleznev. 2006.</w:t>
      </w:r>
      <w:r>
        <w:t xml:space="preserve"> </w:t>
      </w:r>
      <w:r>
        <w:t xml:space="preserve">“Maximum Entropy Production Principle in Physics, Chemistry and Biology.”</w:t>
      </w:r>
      <w:r>
        <w:t xml:space="preserve"> </w:t>
      </w:r>
      <w:r>
        <w:rPr>
          <w:i/>
          <w:iCs/>
        </w:rPr>
        <w:t xml:space="preserve">Physics Reports</w:t>
      </w:r>
      <w:r>
        <w:t xml:space="preserve"> </w:t>
      </w:r>
      <w:r>
        <w:t xml:space="preserve">426 (1): 1–45.</w:t>
      </w:r>
      <w:r>
        <w:t xml:space="preserve"> </w:t>
      </w:r>
      <w:hyperlink r:id="rId38">
        <w:r>
          <w:rPr>
            <w:rStyle w:val="Hyperlink"/>
          </w:rPr>
          <w:t xml:space="preserve">https://doi.org/10.1016/j.physrep.2005.12.001</w:t>
        </w:r>
      </w:hyperlink>
      <w:r>
        <w:t xml:space="preserve">.</w:t>
      </w:r>
    </w:p>
    <w:bookmarkEnd w:id="39"/>
    <w:bookmarkStart w:id="41" w:name="ref-michaelian2011thermodynamic"/>
    <w:p>
      <w:pPr>
        <w:pStyle w:val="Bibliography"/>
      </w:pPr>
      <w:r>
        <w:t xml:space="preserve">Michaelian, K. 2011.</w:t>
      </w:r>
      <w:r>
        <w:t xml:space="preserve"> </w:t>
      </w:r>
      <w:r>
        <w:t xml:space="preserve">“Thermodynamic Dissipation Theory for the Origin of Life.”</w:t>
      </w:r>
      <w:r>
        <w:t xml:space="preserve"> </w:t>
      </w:r>
      <w:r>
        <w:rPr>
          <w:i/>
          <w:iCs/>
        </w:rPr>
        <w:t xml:space="preserve">Earth System Dynamics</w:t>
      </w:r>
      <w:r>
        <w:t xml:space="preserve"> </w:t>
      </w:r>
      <w:r>
        <w:t xml:space="preserve">2 (1): 37–51.</w:t>
      </w:r>
      <w:r>
        <w:t xml:space="preserve"> </w:t>
      </w:r>
      <w:hyperlink r:id="rId40">
        <w:r>
          <w:rPr>
            <w:rStyle w:val="Hyperlink"/>
          </w:rPr>
          <w:t xml:space="preserve">https://doi.org/10.5194/esd-2-37-2011</w:t>
        </w:r>
      </w:hyperlink>
      <w:r>
        <w:t xml:space="preserve">.</w:t>
      </w:r>
    </w:p>
    <w:bookmarkEnd w:id="41"/>
    <w:bookmarkStart w:id="42" w:name="ref-prigogine1977dissipative"/>
    <w:p>
      <w:pPr>
        <w:pStyle w:val="Bibliography"/>
      </w:pPr>
      <w:r>
        <w:t xml:space="preserve">Nicolis, G., and I. Prigogine. 1977.</w:t>
      </w:r>
      <w:r>
        <w:t xml:space="preserve"> </w:t>
      </w:r>
      <w:r>
        <w:rPr>
          <w:i/>
          <w:iCs/>
        </w:rPr>
        <w:t xml:space="preserve">Self-Organization in Nonequilibrium Systems: From Dissipative Structures to Order Through Fluctuations</w:t>
      </w:r>
      <w:r>
        <w:t xml:space="preserve">. Wiley.</w:t>
      </w:r>
    </w:p>
    <w:bookmarkEnd w:id="42"/>
    <w:bookmarkStart w:id="44" w:name="ref-patterson2021carbon"/>
    <w:p>
      <w:pPr>
        <w:pStyle w:val="Bibliography"/>
      </w:pPr>
      <w:r>
        <w:t xml:space="preserve">Patterson, David, Joseph Gonzalez, Quoc Le, et al. 2021.</w:t>
      </w:r>
      <w:r>
        <w:t xml:space="preserve"> </w:t>
      </w:r>
      <w:r>
        <w:rPr>
          <w:i/>
          <w:iCs/>
        </w:rPr>
        <w:t xml:space="preserve">Carbon Emissions and Large Neural Network Training</w:t>
      </w:r>
      <w:r>
        <w:t xml:space="preserve">. arXiv:2104.10350.</w:t>
      </w:r>
      <w:r>
        <w:t xml:space="preserve"> </w:t>
      </w:r>
      <w:hyperlink r:id="rId43">
        <w:r>
          <w:rPr>
            <w:rStyle w:val="Hyperlink"/>
          </w:rPr>
          <w:t xml:space="preserve">https://arxiv.org/abs/2104.10350</w:t>
        </w:r>
      </w:hyperlink>
      <w:r>
        <w:t xml:space="preserve">.</w:t>
      </w:r>
    </w:p>
    <w:bookmarkEnd w:id="44"/>
    <w:bookmarkStart w:id="46" w:name="ref-england2015dissipative"/>
    <w:p>
      <w:pPr>
        <w:pStyle w:val="Bibliography"/>
      </w:pPr>
      <w:r>
        <w:t xml:space="preserve">Perunov, Nikolay, Robert A. Marsland, and Jeremy L. England. 2016.</w:t>
      </w:r>
      <w:r>
        <w:t xml:space="preserve"> </w:t>
      </w:r>
      <w:r>
        <w:t xml:space="preserve">“Statistical Physics of Adaptation.”</w:t>
      </w:r>
      <w:r>
        <w:t xml:space="preserve"> </w:t>
      </w:r>
      <w:r>
        <w:rPr>
          <w:i/>
          <w:iCs/>
        </w:rPr>
        <w:t xml:space="preserve">Physical Review X</w:t>
      </w:r>
      <w:r>
        <w:t xml:space="preserve"> </w:t>
      </w:r>
      <w:r>
        <w:t xml:space="preserve">6 (2): 021036.</w:t>
      </w:r>
      <w:r>
        <w:t xml:space="preserve"> </w:t>
      </w:r>
      <w:hyperlink r:id="rId45">
        <w:r>
          <w:rPr>
            <w:rStyle w:val="Hyperlink"/>
          </w:rPr>
          <w:t xml:space="preserve">https://doi.org/10.1103/PhysRevX.6.021036</w:t>
        </w:r>
      </w:hyperlink>
      <w:r>
        <w:t xml:space="preserve">.</w:t>
      </w:r>
    </w:p>
    <w:bookmarkEnd w:id="46"/>
    <w:bookmarkStart w:id="47" w:name="ref-schrodinger1944"/>
    <w:p>
      <w:pPr>
        <w:pStyle w:val="Bibliography"/>
      </w:pPr>
      <w:r>
        <w:t xml:space="preserve">Schrödinger, Erwin. 1944.</w:t>
      </w:r>
      <w:r>
        <w:t xml:space="preserve"> </w:t>
      </w:r>
      <w:r>
        <w:rPr>
          <w:i/>
          <w:iCs/>
        </w:rPr>
        <w:t xml:space="preserve">What Is Life? The Physical Aspect of the Living Cell</w:t>
      </w:r>
      <w:r>
        <w:t xml:space="preserve">. Cambridge University Press.</w:t>
      </w:r>
    </w:p>
    <w:bookmarkEnd w:id="47"/>
    <w:bookmarkStart w:id="49" w:name="ref-smolin1992did"/>
    <w:p>
      <w:pPr>
        <w:pStyle w:val="Bibliography"/>
      </w:pPr>
      <w:r>
        <w:t xml:space="preserve">Smolin, Lee. 1992.</w:t>
      </w:r>
      <w:r>
        <w:t xml:space="preserve"> </w:t>
      </w:r>
      <w:r>
        <w:t xml:space="preserve">“Did the Universe Evolve?”</w:t>
      </w:r>
      <w:r>
        <w:t xml:space="preserve"> </w:t>
      </w:r>
      <w:r>
        <w:rPr>
          <w:i/>
          <w:iCs/>
        </w:rPr>
        <w:t xml:space="preserve">Classical and Quantum Gravity</w:t>
      </w:r>
      <w:r>
        <w:t xml:space="preserve"> </w:t>
      </w:r>
      <w:r>
        <w:t xml:space="preserve">9 (1): 173–91.</w:t>
      </w:r>
      <w:r>
        <w:t xml:space="preserve"> </w:t>
      </w:r>
      <w:hyperlink r:id="rId48">
        <w:r>
          <w:rPr>
            <w:rStyle w:val="Hyperlink"/>
          </w:rPr>
          <w:t xml:space="preserve">https://doi.org/10.1088/0264-9381/9/1/016</w:t>
        </w:r>
      </w:hyperlink>
      <w:r>
        <w:t xml:space="preserve">.</w:t>
      </w:r>
    </w:p>
    <w:bookmarkEnd w:id="49"/>
    <w:bookmarkStart w:id="51" w:name="ref-devries2023growing"/>
    <w:p>
      <w:pPr>
        <w:pStyle w:val="Bibliography"/>
      </w:pPr>
      <w:r>
        <w:t xml:space="preserve">Vries, Alex de. 2023.</w:t>
      </w:r>
      <w:r>
        <w:t xml:space="preserve"> </w:t>
      </w:r>
      <w:r>
        <w:t xml:space="preserve">“The Growing Energy Footprint of Artificial Intelligence.”</w:t>
      </w:r>
      <w:r>
        <w:t xml:space="preserve"> </w:t>
      </w:r>
      <w:r>
        <w:rPr>
          <w:i/>
          <w:iCs/>
        </w:rPr>
        <w:t xml:space="preserve">Joule</w:t>
      </w:r>
      <w:r>
        <w:t xml:space="preserve"> </w:t>
      </w:r>
      <w:r>
        <w:t xml:space="preserve">7 (10): 2191–94.</w:t>
      </w:r>
      <w:r>
        <w:t xml:space="preserve"> </w:t>
      </w:r>
      <w:hyperlink r:id="rId50">
        <w:r>
          <w:rPr>
            <w:rStyle w:val="Hyperlink"/>
          </w:rPr>
          <w:t xml:space="preserve">https://doi.org/10.1016/j.joule.2023.09.004</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11">
    <w:nsid w:val="00A993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https://arxiv.org/abs/2104.10350" TargetMode="External" /><Relationship Type="http://schemas.openxmlformats.org/officeDocument/2006/relationships/hyperlink" Id="rId25" Target="https://arxiv.org/abs/2303.10130" TargetMode="External" /><Relationship Type="http://schemas.openxmlformats.org/officeDocument/2006/relationships/hyperlink" Id="rId23" Target="https://arxiv.org/abs/hep-th/9402104" TargetMode="External" /><Relationship Type="http://schemas.openxmlformats.org/officeDocument/2006/relationships/hyperlink" Id="rId29" Target="https://doi.org/10.1002/2013EF000171" TargetMode="External" /><Relationship Type="http://schemas.openxmlformats.org/officeDocument/2006/relationships/hyperlink" Id="rId34" Target="https://doi.org/10.1007/s00114-010-0697-4" TargetMode="External" /><Relationship Type="http://schemas.openxmlformats.org/officeDocument/2006/relationships/hyperlink" Id="rId50" Target="https://doi.org/10.1016/j.joule.2023.09.004" TargetMode="External" /><Relationship Type="http://schemas.openxmlformats.org/officeDocument/2006/relationships/hyperlink" Id="rId38" Target="https://doi.org/10.1016/j.physrep.2005.12.001" TargetMode="External" /><Relationship Type="http://schemas.openxmlformats.org/officeDocument/2006/relationships/hyperlink" Id="rId27" Target="https://doi.org/10.1063/1.4818538" TargetMode="External" /><Relationship Type="http://schemas.openxmlformats.org/officeDocument/2006/relationships/hyperlink" Id="rId21" Target="https://doi.org/10.1086/705716" TargetMode="External" /><Relationship Type="http://schemas.openxmlformats.org/officeDocument/2006/relationships/hyperlink" Id="rId48" Target="https://doi.org/10.1088/0264-9381/9/1/016" TargetMode="External" /><Relationship Type="http://schemas.openxmlformats.org/officeDocument/2006/relationships/hyperlink" Id="rId45" Target="https://doi.org/10.1103/PhysRevX.6.021036" TargetMode="External" /><Relationship Type="http://schemas.openxmlformats.org/officeDocument/2006/relationships/hyperlink" Id="rId36" Target="https://doi.org/10.1126/science.1081280" TargetMode="External" /><Relationship Type="http://schemas.openxmlformats.org/officeDocument/2006/relationships/hyperlink" Id="rId40" Target="https://doi.org/10.5194/esd-2-37-2011" TargetMode="External" /><Relationship Type="http://schemas.openxmlformats.org/officeDocument/2006/relationships/hyperlink" Id="rId32" Target="https://www.iea.org/reports/electricity-2024" TargetMode="External" /></Relationships>
</file>

<file path=word/_rels/footnotes.xml.rels><?xml version="1.0" encoding="UTF-8"?><Relationships xmlns="http://schemas.openxmlformats.org/package/2006/relationships"><Relationship Type="http://schemas.openxmlformats.org/officeDocument/2006/relationships/hyperlink" Id="rId43" Target="https://arxiv.org/abs/2104.10350" TargetMode="External" /><Relationship Type="http://schemas.openxmlformats.org/officeDocument/2006/relationships/hyperlink" Id="rId25" Target="https://arxiv.org/abs/2303.10130" TargetMode="External" /><Relationship Type="http://schemas.openxmlformats.org/officeDocument/2006/relationships/hyperlink" Id="rId23" Target="https://arxiv.org/abs/hep-th/9402104" TargetMode="External" /><Relationship Type="http://schemas.openxmlformats.org/officeDocument/2006/relationships/hyperlink" Id="rId29" Target="https://doi.org/10.1002/2013EF000171" TargetMode="External" /><Relationship Type="http://schemas.openxmlformats.org/officeDocument/2006/relationships/hyperlink" Id="rId34" Target="https://doi.org/10.1007/s00114-010-0697-4" TargetMode="External" /><Relationship Type="http://schemas.openxmlformats.org/officeDocument/2006/relationships/hyperlink" Id="rId50" Target="https://doi.org/10.1016/j.joule.2023.09.004" TargetMode="External" /><Relationship Type="http://schemas.openxmlformats.org/officeDocument/2006/relationships/hyperlink" Id="rId38" Target="https://doi.org/10.1016/j.physrep.2005.12.001" TargetMode="External" /><Relationship Type="http://schemas.openxmlformats.org/officeDocument/2006/relationships/hyperlink" Id="rId27" Target="https://doi.org/10.1063/1.4818538" TargetMode="External" /><Relationship Type="http://schemas.openxmlformats.org/officeDocument/2006/relationships/hyperlink" Id="rId21" Target="https://doi.org/10.1086/705716" TargetMode="External" /><Relationship Type="http://schemas.openxmlformats.org/officeDocument/2006/relationships/hyperlink" Id="rId48" Target="https://doi.org/10.1088/0264-9381/9/1/016" TargetMode="External" /><Relationship Type="http://schemas.openxmlformats.org/officeDocument/2006/relationships/hyperlink" Id="rId45" Target="https://doi.org/10.1103/PhysRevX.6.021036" TargetMode="External" /><Relationship Type="http://schemas.openxmlformats.org/officeDocument/2006/relationships/hyperlink" Id="rId36" Target="https://doi.org/10.1126/science.1081280" TargetMode="External" /><Relationship Type="http://schemas.openxmlformats.org/officeDocument/2006/relationships/hyperlink" Id="rId40" Target="https://doi.org/10.5194/esd-2-37-2011" TargetMode="External" /><Relationship Type="http://schemas.openxmlformats.org/officeDocument/2006/relationships/hyperlink" Id="rId32" Target="https://www.iea.org/reports/electricity-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Selection of Labor: An Entropy-Production Account of AI-Driven Job Displacement</dc:title>
  <dc:creator/>
  <cp:keywords>maximum entropy production principle, dissipative adaptation, artificial intelligence, labor displacement, non-equilibrium thermodynamics</cp:keywords>
  <dcterms:created xsi:type="dcterms:W3CDTF">2026-05-10T12:36:05Z</dcterms:created>
  <dcterms:modified xsi:type="dcterms:W3CDTF">2026-05-10T12:36:05Z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propose a thermodynamic reframing of the empirical phenomenon of AI-driven labor displacement. Existing models of automation exposure (Acemoglu and Restrepo 2020; Eloundou et al. 2023) explain which occupations are technically substitutable, but leave residual variation in the speed of substitution. We hypothesise that this residual variation is partially predicted by entropy-production asymmetry (EPA) — the difference in energetic dissipation between a human performing a task and an AI substitute performing the equivalent task. Building on the Maximum Entropy Production Principle (Kleidon 2010; Martyushev and Seleznev 2006) and on Jeremy England’s dissipative-adaptation programme (England 2013, 2015), we argue that occupations with a larger EPA are displaced earlier under MEPP-consistent selection. We provide an operational definition of EPA based on metabolic-equivalent ratings (O*NET / Ainsworth Compendium) and published AI energy footprints, sketch a regression strategy using BLS occupational data for 2019–2025, and illustrate the framework with a case-study comparison of call-center work and skilled trades. The cosmological proposals of Smolin (1992) and Crane (1994) inspire but do not constrain the empirical claim. We conclude with policy implications for redistribution and for the regulation of AI energy consumption.</vt:lpwstr>
  </property>
  <property fmtid="{D5CDD505-2E9C-101B-9397-08002B2CF9AE}" pid="3" name="bibliography">
    <vt:lpwstr>C:\Users\엄세민\Desktop\entropy-ai-paper\references.bib</vt:lpwstr>
  </property>
  <property fmtid="{D5CDD505-2E9C-101B-9397-08002B2CF9AE}" pid="4" name="date">
    <vt:lpwstr>2026-05-10</vt:lpwstr>
  </property>
</Properties>
</file>