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b/>
          <w:bCs/>
          <w:color w:val="1F3864"/>
          <w:sz w:val="56"/>
          <w:szCs w:val="56"/>
        </w:rPr>
        <w:t xml:space="preserve">GO-TO-MARKET-STRATEGIE</w:t>
      </w:r>
    </w:p>
    <w:p>
      <w:pPr>
        <w:spacing w:after="0" w:before="60"/>
      </w:pPr>
      <w:r>
        <w:rPr>
          <w:b/>
          <w:bCs/>
          <w:color w:val="2E5496"/>
          <w:sz w:val="40"/>
          <w:szCs w:val="40"/>
        </w:rPr>
        <w:t xml:space="preserve">plan&amp;simple</w:t>
      </w:r>
    </w:p>
    <w:p>
      <w:pPr>
        <w:spacing w:after="0" w:before="40"/>
      </w:pPr>
      <w:r>
        <w:rPr>
          <w:color w:val="595959"/>
          <w:sz w:val="26"/>
          <w:szCs w:val="26"/>
        </w:rPr>
        <w:t xml:space="preserve">Bürosoftware für Architektur- und Ingenieurbüros</w:t>
      </w:r>
    </w:p>
    <w:p>
      <w:pPr>
        <w:pBdr>
          <w:bottom w:val="single" w:color="2E5496" w:sz="12" w:space="8"/>
        </w:pBdr>
        <w:spacing w:after="200" w:before="220"/>
      </w:pPr>
      <w:r>
        <w:rPr>
          <w:color w:val="333333"/>
          <w:sz w:val="24"/>
          <w:szCs w:val="24"/>
        </w:rPr>
        <w:t xml:space="preserve">Markteintritt Q4 2026  ·  Deutschland  ·  Segment 2–10 Personen</w:t>
      </w:r>
    </w:p>
    <w:p>
      <w:pPr>
        <w:spacing w:after="40"/>
      </w:pPr>
      <w:r>
        <w:rPr>
          <w:color w:val="595959"/>
          <w:sz w:val="22"/>
          <w:szCs w:val="22"/>
        </w:rPr>
        <w:t xml:space="preserve">Stand: Juni 2026</w:t>
      </w:r>
    </w:p>
    <w:p>
      <w:pPr>
        <w:spacing w:after="40"/>
      </w:pPr>
      <w:r>
        <w:rPr>
          <w:i/>
          <w:iCs/>
          <w:color w:val="595959"/>
          <w:sz w:val="22"/>
          <w:szCs w:val="22"/>
        </w:rPr>
        <w:t xml:space="preserve">Operativer Marketing- &amp; Sales-Plan. Begleitdokument zur „Marktanalyse Planungsbüros DACH“ (Juni 2026) und zum internen Lizenzkonzept.</w:t>
      </w:r>
    </w:p>
    <w:p>
      <w:r>
        <w:br w:type="page"/>
      </w:r>
    </w:p>
    <w:p>
      <w:pPr>
        <w:spacing w:after="120"/>
      </w:pPr>
      <w:r>
        <w:rPr>
          <w:b/>
          <w:bCs/>
          <w:color w:val="1F3864"/>
          <w:sz w:val="30"/>
          <w:szCs w:val="30"/>
        </w:rPr>
        <w:t xml:space="preserve">Inhalt</w:t>
      </w:r>
    </w:p>
    <w:sdt>
      <w:sdtPr>
        <w:alias w:val="Inhalt"/>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Zielbild und strategische These</w:t>
      </w:r>
    </w:p>
    <w:p>
      <w:pPr>
        <w:spacing w:after="140" w:line="276"/>
        <w:jc w:val="both"/>
      </w:pPr>
      <w:r>
        <w:rPr>
          <w:b w:val="false"/>
          <w:bCs w:val="false"/>
          <w:i w:val="false"/>
          <w:iCs w:val="false"/>
        </w:rPr>
        <w:t xml:space="preserve">Die vorliegende Marktanalyse hat eine Frage beantwortet: Lohnt sich der Markt und wo ist die Lücke? Fundiert und mit klarem Ergebnis. Dieses Dokument beantwortet die Anschlussfrage — </w:t>
      </w:r>
      <w:r>
        <w:rPr>
          <w:b/>
          <w:bCs/>
          <w:i w:val="false"/>
          <w:iCs w:val="false"/>
        </w:rPr>
        <w:t xml:space="preserve">wie gewinnen wir in diesem Markt als Solo-/Bootstrapped-Anbieter die ersten hundert zahlenden Büros?</w:t>
      </w:r>
      <w:r>
        <w:rPr>
          <w:b w:val="false"/>
          <w:bCs w:val="false"/>
          <w:i w:val="false"/>
          <w:iCs w:val="false"/>
        </w:rPr>
        <w:t xml:space="preserve"> Es ist der operative Plan bis zum Launch und in die erste Wachstumsphase.</w:t>
      </w:r>
    </w:p>
    <w:p>
      <w:pPr>
        <w:spacing w:after="140" w:line="276"/>
        <w:jc w:val="both"/>
      </w:pPr>
      <w:r>
        <w:rPr>
          <w:b w:val="false"/>
          <w:bCs w:val="false"/>
          <w:i w:val="false"/>
          <w:iCs w:val="false"/>
        </w:rPr>
        <w:t xml:space="preserve">Zwei Randbedingungen prägen jede Entscheidung in diesem Dokument:</w:t>
      </w:r>
    </w:p>
    <w:p>
      <w:pPr>
        <w:pStyle w:val="ListParagraph"/>
        <w:numPr>
          <w:ilvl w:val="0"/>
          <w:numId w:val="2"/>
        </w:numPr>
        <w:spacing w:after="70" w:line="270"/>
      </w:pPr>
      <w:r>
        <w:rPr>
          <w:b/>
          <w:bCs/>
          <w:i w:val="false"/>
          <w:iCs w:val="false"/>
        </w:rPr>
        <w:t xml:space="preserve">Solo / bootstrapped — </w:t>
      </w:r>
      <w:r>
        <w:rPr>
          <w:b w:val="false"/>
          <w:bCs w:val="false"/>
          <w:i w:val="false"/>
          <w:iCs w:val="false"/>
        </w:rPr>
        <w:t xml:space="preserve">kein Werbebudget, das Fehlversuche auffängt; die knappste Ressource ist Zeit. Daraus folgt: wenige, hebelstarke Kanäle; organisch vor bezahlt; Selbstbedienung vor manuellem Vertrieb.</w:t>
      </w:r>
    </w:p>
    <w:p>
      <w:pPr>
        <w:pStyle w:val="ListParagraph"/>
        <w:numPr>
          <w:ilvl w:val="0"/>
          <w:numId w:val="2"/>
        </w:numPr>
        <w:spacing w:after="70" w:line="270"/>
      </w:pPr>
      <w:r>
        <w:rPr>
          <w:b/>
          <w:bCs/>
          <w:i w:val="false"/>
          <w:iCs w:val="false"/>
        </w:rPr>
        <w:t xml:space="preserve">Terminierter Launch (Q4 2026) — </w:t>
      </w:r>
      <w:r>
        <w:rPr>
          <w:b w:val="false"/>
          <w:bCs w:val="false"/>
          <w:i w:val="false"/>
          <w:iCs w:val="false"/>
        </w:rPr>
        <w:t xml:space="preserve">rückwärts geplant ab Juni 2026 bleiben rund vier Monate. Das reicht für einen fokussierten Einstieg in ein Segment über eine Kernbotschaft, nicht für Breite.</w:t>
      </w:r>
    </w:p>
    <w:p>
      <w:pPr>
        <w:spacing w:after="60"/>
      </w:pPr>
      <w:r>
        <w:t xml:space="preserve"/>
      </w:r>
    </w:p>
    <w:p>
      <w:pPr>
        <w:spacing w:after="140" w:line="276"/>
        <w:jc w:val="both"/>
      </w:pPr>
      <w:r>
        <w:rPr>
          <w:b/>
          <w:bCs/>
          <w:i w:val="false"/>
          <w:iCs w:val="false"/>
        </w:rPr>
        <w:t xml:space="preserve">Zielbild: </w:t>
      </w:r>
      <w:r>
        <w:rPr>
          <w:b w:val="false"/>
          <w:bCs w:val="false"/>
          <w:i w:val="false"/>
          <w:iCs w:val="false"/>
        </w:rPr>
        <w:t xml:space="preserve">plan&amp;simple wird in der Wahrnehmung kleiner deutscher Planungsbüros „das einfachste Bürotool, das HOAI-Honorare, Zeiterfassung, E-Rechnung und Projektwirtschaftlichkeit in Tagen statt Monaten produktiv macht“.</w:t>
      </w:r>
    </w:p>
    <w:p>
      <w:pPr>
        <w:pBdr>
          <w:left w:val="single" w:color="2E5496" w:sz="18" w:space="12"/>
        </w:pBdr>
        <w:shd w:fill="F1F5FB" w:val="clear"/>
        <w:spacing w:after="160" w:before="120" w:line="276"/>
        <w:jc w:val="both"/>
      </w:pPr>
      <w:r>
        <w:rPr>
          <w:b/>
          <w:bCs/>
          <w:i w:val="false"/>
          <w:iCs w:val="false"/>
          <w:color w:val="333333"/>
        </w:rPr>
        <w:t xml:space="preserve">Strategische These: </w:t>
      </w:r>
      <w:r>
        <w:rPr>
          <w:b w:val="false"/>
          <w:bCs w:val="false"/>
          <w:i w:val="false"/>
          <w:iCs w:val="false"/>
          <w:color w:val="333333"/>
        </w:rPr>
        <w:t xml:space="preserve">Der größte adressierbare Kundenpool sind nicht die Wechsler von PROJEKT PRO oder Kobold, sondern die rund 60 % der Büros, die heute mit Excel, Word und Outlook arbeiten. Sie zahlen aktuell nichts, leiden aber messbar — und werden durch die E-Rechnungspflicht zu einem festen Termin zum Handeln gezwungen. Wer dieses Segment mit radikaler Einfachheit und transparentem Preis abholt, gewinnt einen Markt, um den die etablierten Suiten bewusst einen Bogen machen (Mindestzielgröße 10–15 MA, Einführung in Monaten).</w:t>
      </w:r>
    </w:p>
    <w:p>
      <w:pPr>
        <w:spacing w:after="140" w:line="276"/>
        <w:jc w:val="both"/>
      </w:pPr>
      <w:r>
        <w:rPr>
          <w:b w:val="false"/>
          <w:bCs w:val="false"/>
          <w:i w:val="false"/>
          <w:iCs w:val="false"/>
        </w:rPr>
        <w:t xml:space="preserve">Wir kopieren also keinen Wettbewerber. Wir </w:t>
      </w:r>
      <w:r>
        <w:rPr>
          <w:b/>
          <w:bCs/>
          <w:i w:val="false"/>
          <w:iCs w:val="false"/>
        </w:rPr>
        <w:t xml:space="preserve">verdrängen Excel</w:t>
      </w:r>
      <w:r>
        <w:rPr>
          <w:b w:val="false"/>
          <w:bCs w:val="false"/>
          <w:i w:val="false"/>
          <w:iCs w:val="false"/>
        </w:rPr>
        <w:t xml:space="preserve"> — und nutzen einen gesetzlichen Stichtag als Vertriebsanlass.</w:t>
      </w:r>
    </w:p>
    <w:p>
      <w:pPr>
        <w:pStyle w:val="Heading1"/>
      </w:pPr>
      <w:r>
        <w:t xml:space="preserve">2  Ziel-Kunde (ICP) — zugespitzt auf 2–10 Personen</w:t>
      </w:r>
    </w:p>
    <w:p>
      <w:pPr>
        <w:pStyle w:val="Heading2"/>
      </w:pPr>
      <w:r>
        <w:t xml:space="preserve">2.1  Firmografie des Kernsegments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Merkmal</w:t>
            </w:r>
          </w:p>
        </w:tc>
        <w:tc>
          <w:tcPr>
            <w:tcW w:type="dxa" w:w="7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Definition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Bürogröße</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2–10 tätige Personen (Sweet Spot lt. Marktanalyse; Solos sekundär)</w:t>
            </w:r>
          </w:p>
        </w:tc>
      </w:tr>
      <w:tr>
        <w:tc>
          <w:tcPr>
            <w:tcW w:type="dxa" w:w="22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Disziplin</w:t>
            </w:r>
          </w:p>
        </w:tc>
        <w:tc>
          <w:tcPr>
            <w:tcW w:type="dxa" w:w="71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Architektur- UND Ingenieur-/Fachplanung (TGA, Tragwerk, Vermessung, Infrastruktur)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Markt</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Deutschland zuerst; HOAI-gebunden</w:t>
            </w:r>
          </w:p>
        </w:tc>
      </w:tr>
      <w:tr>
        <w:tc>
          <w:tcPr>
            <w:tcW w:type="dxa" w:w="22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Marktgröße</w:t>
            </w:r>
          </w:p>
        </w:tc>
        <w:tc>
          <w:tcPr>
            <w:tcW w:type="dxa" w:w="71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~61.000 Büros mit 2–9 Pers. in DE (Destatis 2020); ~68.500 für 2–19</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Heutiges „System“</w:t>
            </w:r>
          </w:p>
        </w:tc>
        <w:tc>
          <w:tcPr>
            <w:tcW w:type="dxa" w:w="7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Excel (Stunden, Kalkulation), Word (Angebote), Outlook, Steuerberater/Buchhaltung</w:t>
            </w:r>
          </w:p>
        </w:tc>
      </w:tr>
      <w:tr>
        <w:tc>
          <w:tcPr>
            <w:tcW w:type="dxa" w:w="22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Rechtsform</w:t>
            </w:r>
          </w:p>
        </w:tc>
        <w:tc>
          <w:tcPr>
            <w:tcW w:type="dxa" w:w="71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überwiegend Einzelunternehmen &amp; kleine GmbH; Inhaber = Entscheider = Anwender</w:t>
            </w:r>
          </w:p>
        </w:tc>
      </w:tr>
    </w:tbl>
    <w:p>
      <w:pPr>
        <w:spacing w:after="120"/>
      </w:pPr>
      <w:r>
        <w:t xml:space="preserve"/>
      </w:r>
    </w:p>
    <w:p>
      <w:pPr>
        <w:pStyle w:val="Heading2"/>
      </w:pPr>
      <w:r>
        <w:t xml:space="preserve">2.2  Buyer Persona — „Der Inhaber-Planer“</w:t>
      </w:r>
    </w:p>
    <w:p>
      <w:pPr>
        <w:spacing w:after="140" w:line="276"/>
        <w:jc w:val="both"/>
      </w:pPr>
      <w:r>
        <w:rPr>
          <w:b w:val="false"/>
          <w:bCs w:val="false"/>
          <w:i w:val="false"/>
          <w:iCs w:val="false"/>
        </w:rPr>
        <w:t xml:space="preserve">Im 2–10-Personen-Büro ist die Person, die kauft, die Software einführt und sie täglich nutzt, dieselbe: der oder die Büroinhaber:in. Das hat drei Konsequenzen für die gesamte Strategie:</w:t>
      </w:r>
    </w:p>
    <w:p>
      <w:pPr>
        <w:pStyle w:val="ListParagraph"/>
        <w:numPr>
          <w:ilvl w:val="0"/>
          <w:numId w:val="3"/>
        </w:numPr>
        <w:spacing w:after="70" w:line="270"/>
      </w:pPr>
      <w:r>
        <w:rPr>
          <w:b/>
          <w:bCs/>
          <w:i w:val="false"/>
          <w:iCs w:val="false"/>
        </w:rPr>
        <w:t xml:space="preserve">Kurze Entscheidungswege, aber null Zeit. </w:t>
      </w:r>
      <w:r>
        <w:rPr>
          <w:b w:val="false"/>
          <w:bCs w:val="false"/>
          <w:i w:val="false"/>
          <w:iCs w:val="false"/>
        </w:rPr>
        <w:t xml:space="preserve">Die Person arbeitet im Projektgeschäft mit und „nebenbei“ an der Verwaltung. Jede Hürde — langes Onboarding, Demo-Zwang, „Preis auf Anfrage“ — ist ein Abbruchgrund.</w:t>
      </w:r>
    </w:p>
    <w:p>
      <w:pPr>
        <w:pStyle w:val="ListParagraph"/>
        <w:numPr>
          <w:ilvl w:val="0"/>
          <w:numId w:val="3"/>
        </w:numPr>
        <w:spacing w:after="70" w:line="270"/>
      </w:pPr>
      <w:r>
        <w:rPr>
          <w:b/>
          <w:bCs/>
          <w:i w:val="false"/>
          <w:iCs w:val="false"/>
        </w:rPr>
        <w:t xml:space="preserve">Fachlich anspruchsvoll, software-skeptisch. </w:t>
      </w:r>
      <w:r>
        <w:rPr>
          <w:b w:val="false"/>
          <w:bCs w:val="false"/>
          <w:i w:val="false"/>
          <w:iCs w:val="false"/>
        </w:rPr>
        <w:t xml:space="preserve">Kennt HOAI im Detail und merkt sofort, ob ein Tool die Materie versteht — toleriert aber keine Überfrachtung.</w:t>
      </w:r>
    </w:p>
    <w:p>
      <w:pPr>
        <w:pStyle w:val="ListParagraph"/>
        <w:numPr>
          <w:ilvl w:val="0"/>
          <w:numId w:val="3"/>
        </w:numPr>
        <w:spacing w:after="70" w:line="270"/>
      </w:pPr>
      <w:r>
        <w:rPr>
          <w:b/>
          <w:bCs/>
          <w:i w:val="false"/>
          <w:iCs w:val="false"/>
        </w:rPr>
        <w:t xml:space="preserve">Risikoscheu bei Wechsel. </w:t>
      </w:r>
      <w:r>
        <w:rPr>
          <w:b w:val="false"/>
          <w:bCs w:val="false"/>
          <w:i w:val="false"/>
          <w:iCs w:val="false"/>
        </w:rPr>
        <w:t xml:space="preserve">Die Sorge ist nicht der Preis, sondern „Migration kostet mich zwei Wochen, die ich nicht habe“ und Vendor-Lock-in.</w:t>
      </w:r>
    </w:p>
    <w:p>
      <w:pPr>
        <w:spacing w:after="40"/>
      </w:pPr>
      <w:r>
        <w:t xml:space="preserve"/>
      </w:r>
    </w:p>
    <w:p>
      <w:pPr>
        <w:pStyle w:val="Heading2"/>
      </w:pPr>
      <w:r>
        <w:t xml:space="preserve">2.3  Jobs-to-be-Done und Pain Points</w:t>
      </w:r>
    </w:p>
    <w:p>
      <w:pPr>
        <w:spacing w:after="140" w:line="276"/>
        <w:jc w:val="both"/>
      </w:pPr>
      <w:r>
        <w:rPr>
          <w:b w:val="false"/>
          <w:bCs w:val="false"/>
          <w:i w:val="false"/>
          <w:iCs w:val="false"/>
        </w:rPr>
        <w:t xml:space="preserve">Aus der Marktanalyse, in Reihenfolge der Verkaufswirkung:</w:t>
      </w:r>
    </w:p>
    <w:p>
      <w:pPr>
        <w:pStyle w:val="ListParagraph"/>
        <w:numPr>
          <w:ilvl w:val="0"/>
          <w:numId w:val="4"/>
        </w:numPr>
        <w:spacing w:after="70" w:line="270"/>
      </w:pPr>
      <w:r>
        <w:rPr>
          <w:b/>
          <w:bCs/>
          <w:i w:val="false"/>
          <w:iCs w:val="false"/>
        </w:rPr>
        <w:t xml:space="preserve">„Ich weiß nicht, ob meine Projekte Geld verdienen.“ </w:t>
      </w:r>
      <w:r>
        <w:rPr>
          <w:b w:val="false"/>
          <w:bCs w:val="false"/>
          <w:i w:val="false"/>
          <w:iCs w:val="false"/>
        </w:rPr>
        <w:t xml:space="preserve">Keine belastbaren Stundendaten → Honorare „nach Gefühl“ → unbemerkt defizitäre Projekte. Der stärkste Schmerz und unser Wedge.</w:t>
      </w:r>
    </w:p>
    <w:p>
      <w:pPr>
        <w:pStyle w:val="ListParagraph"/>
        <w:numPr>
          <w:ilvl w:val="0"/>
          <w:numId w:val="4"/>
        </w:numPr>
        <w:spacing w:after="70" w:line="270"/>
      </w:pPr>
      <w:r>
        <w:rPr>
          <w:b/>
          <w:bCs/>
          <w:i w:val="false"/>
          <w:iCs w:val="false"/>
        </w:rPr>
        <w:t xml:space="preserve">„Ich pflege alles dreimal.“ </w:t>
      </w:r>
      <w:r>
        <w:rPr>
          <w:b w:val="false"/>
          <w:bCs w:val="false"/>
          <w:i w:val="false"/>
          <w:iCs w:val="false"/>
        </w:rPr>
        <w:t xml:space="preserve">Stunden in Excel, Angebote in Word, Rechnungen im Buchhaltungstool — Medienbrüche, Fehler, Doppelarbeit.</w:t>
      </w:r>
    </w:p>
    <w:p>
      <w:pPr>
        <w:pStyle w:val="ListParagraph"/>
        <w:numPr>
          <w:ilvl w:val="0"/>
          <w:numId w:val="4"/>
        </w:numPr>
        <w:spacing w:after="70" w:line="270"/>
      </w:pPr>
      <w:r>
        <w:rPr>
          <w:b/>
          <w:bCs/>
          <w:i w:val="false"/>
          <w:iCs w:val="false"/>
        </w:rPr>
        <w:t xml:space="preserve">„HOAI rechtssicher abrechnen ist mit Office kaum machbar.“ </w:t>
      </w:r>
      <w:r>
        <w:rPr>
          <w:b w:val="false"/>
          <w:bCs w:val="false"/>
          <w:i w:val="false"/>
          <w:iCs w:val="false"/>
        </w:rPr>
        <w:t xml:space="preserve">Leistungsphasen, Honorarzonen, anrechenbare Kosten (DIN 276), Nachträge.</w:t>
      </w:r>
    </w:p>
    <w:p>
      <w:pPr>
        <w:pStyle w:val="ListParagraph"/>
        <w:numPr>
          <w:ilvl w:val="0"/>
          <w:numId w:val="4"/>
        </w:numPr>
        <w:spacing w:after="70" w:line="270"/>
      </w:pPr>
      <w:r>
        <w:rPr>
          <w:b/>
          <w:bCs/>
          <w:i w:val="false"/>
          <w:iCs w:val="false"/>
        </w:rPr>
        <w:t xml:space="preserve">„Ab 2027/2028 muss ich E-Rechnungen ausstellen — und kann es nicht.“ </w:t>
      </w:r>
      <w:r>
        <w:rPr>
          <w:b w:val="false"/>
          <w:bCs w:val="false"/>
          <w:i w:val="false"/>
          <w:iCs w:val="false"/>
        </w:rPr>
        <w:t xml:space="preserve">Gesetzlicher Zwang mit Datum.</w:t>
      </w:r>
    </w:p>
    <w:p>
      <w:pPr>
        <w:pStyle w:val="ListParagraph"/>
        <w:numPr>
          <w:ilvl w:val="0"/>
          <w:numId w:val="4"/>
        </w:numPr>
        <w:spacing w:after="70" w:line="270"/>
      </w:pPr>
      <w:r>
        <w:rPr>
          <w:b/>
          <w:bCs/>
          <w:i w:val="false"/>
          <w:iCs w:val="false"/>
        </w:rPr>
        <w:t xml:space="preserve">„Ich sehe meine Auslastung und Liquidität nicht.“ </w:t>
      </w:r>
      <w:r>
        <w:rPr>
          <w:b w:val="false"/>
          <w:bCs w:val="false"/>
          <w:i w:val="false"/>
          <w:iCs w:val="false"/>
        </w:rPr>
        <w:t xml:space="preserve">Keine Kapazitäts-/Liquiditätsplanung.</w:t>
      </w:r>
    </w:p>
    <w:p>
      <w:pPr>
        <w:spacing w:after="40"/>
      </w:pPr>
      <w:r>
        <w:t xml:space="preserve"/>
      </w:r>
    </w:p>
    <w:p>
      <w:pPr>
        <w:pStyle w:val="Heading2"/>
      </w:pPr>
      <w:r>
        <w:t xml:space="preserve">2.4  Anti-ICP — bewusst (vorerst) nicht im Fokus</w:t>
      </w:r>
    </w:p>
    <w:p>
      <w:pPr>
        <w:spacing w:after="140" w:line="276"/>
        <w:jc w:val="both"/>
      </w:pPr>
      <w:r>
        <w:rPr>
          <w:b w:val="false"/>
          <w:bCs w:val="false"/>
          <w:i w:val="false"/>
          <w:iCs w:val="false"/>
        </w:rPr>
        <w:t xml:space="preserve">Schärfe entsteht durch Weglassen. Nicht primär adressiert:</w:t>
      </w:r>
    </w:p>
    <w:p>
      <w:pPr>
        <w:pStyle w:val="ListParagraph"/>
        <w:numPr>
          <w:ilvl w:val="0"/>
          <w:numId w:val="3"/>
        </w:numPr>
        <w:spacing w:after="70" w:line="270"/>
      </w:pPr>
      <w:r>
        <w:rPr>
          <w:b/>
          <w:bCs/>
          <w:i w:val="false"/>
          <w:iCs w:val="false"/>
        </w:rPr>
        <w:t xml:space="preserve">Echte Solos (1 Person): </w:t>
      </w:r>
      <w:r>
        <w:rPr>
          <w:b w:val="false"/>
          <w:bCs w:val="false"/>
          <w:i w:val="false"/>
          <w:iCs w:val="false"/>
        </w:rPr>
        <w:t xml:space="preserve">sehr preissensibel, niedriger ACV. Über einen günstigen Self-Service-Tarif mitnehmen, aber Messaging und Vertrieb nicht auf sie ausrichten.</w:t>
      </w:r>
    </w:p>
    <w:p>
      <w:pPr>
        <w:pStyle w:val="ListParagraph"/>
        <w:numPr>
          <w:ilvl w:val="0"/>
          <w:numId w:val="3"/>
        </w:numPr>
        <w:spacing w:after="70" w:line="270"/>
      </w:pPr>
      <w:r>
        <w:rPr>
          <w:b/>
          <w:bCs/>
          <w:i w:val="false"/>
          <w:iCs w:val="false"/>
        </w:rPr>
        <w:t xml:space="preserve">Büros ≥ 20 Personen: </w:t>
      </w:r>
      <w:r>
        <w:rPr>
          <w:b w:val="false"/>
          <w:bCs w:val="false"/>
          <w:i w:val="false"/>
          <w:iCs w:val="false"/>
        </w:rPr>
        <w:t xml:space="preserve">längere Sales-Zyklen, mehr Funktionsdruck, Revier der etablierten Suiten — widerspricht „radikal einfach“.</w:t>
      </w:r>
    </w:p>
    <w:p>
      <w:pPr>
        <w:pStyle w:val="ListParagraph"/>
        <w:numPr>
          <w:ilvl w:val="0"/>
          <w:numId w:val="3"/>
        </w:numPr>
        <w:spacing w:after="70" w:line="270"/>
      </w:pPr>
      <w:r>
        <w:rPr>
          <w:b/>
          <w:bCs/>
          <w:i w:val="false"/>
          <w:iCs w:val="false"/>
        </w:rPr>
        <w:t xml:space="preserve">Österreich / Schweiz: </w:t>
      </w:r>
      <w:r>
        <w:rPr>
          <w:b w:val="false"/>
          <w:bCs w:val="false"/>
          <w:i w:val="false"/>
          <w:iCs w:val="false"/>
        </w:rPr>
        <w:t xml:space="preserve">naheliegende spätere Expansion (DACH-Sequenz), aber nicht zum Launch.</w:t>
      </w:r>
    </w:p>
    <w:p>
      <w:r>
        <w:br w:type="page"/>
      </w:r>
    </w:p>
    <w:p>
      <w:pPr>
        <w:pStyle w:val="Heading1"/>
      </w:pPr>
      <w:r>
        <w:t xml:space="preserve">3  Positionierung &amp; Messaging</w:t>
      </w:r>
    </w:p>
    <w:p>
      <w:pPr>
        <w:pStyle w:val="Heading2"/>
      </w:pPr>
      <w:r>
        <w:t xml:space="preserve">3.1  Positionierungs-Statement</w:t>
      </w:r>
    </w:p>
    <w:p>
      <w:pPr>
        <w:pBdr>
          <w:left w:val="single" w:color="2E5496" w:sz="18" w:space="12"/>
        </w:pBdr>
        <w:shd w:fill="F1F5FB" w:val="clear"/>
        <w:spacing w:after="160" w:before="120" w:line="276"/>
        <w:jc w:val="both"/>
      </w:pPr>
      <w:r>
        <w:rPr>
          <w:b/>
          <w:bCs/>
          <w:i w:val="false"/>
          <w:iCs w:val="false"/>
          <w:color w:val="333333"/>
        </w:rPr>
        <w:t xml:space="preserve">Für </w:t>
      </w:r>
      <w:r>
        <w:rPr>
          <w:b w:val="false"/>
          <w:bCs w:val="false"/>
          <w:i w:val="false"/>
          <w:iCs w:val="false"/>
          <w:color w:val="333333"/>
        </w:rPr>
        <w:t xml:space="preserve">kleine Architektur- und Ingenieurbüros (2–10 Personen) in Deutschland, </w:t>
      </w:r>
      <w:r>
        <w:rPr>
          <w:b/>
          <w:bCs/>
          <w:i w:val="false"/>
          <w:iCs w:val="false"/>
          <w:color w:val="333333"/>
        </w:rPr>
        <w:t xml:space="preserve">die </w:t>
      </w:r>
      <w:r>
        <w:rPr>
          <w:b w:val="false"/>
          <w:bCs w:val="false"/>
          <w:i w:val="false"/>
          <w:iCs w:val="false"/>
          <w:color w:val="333333"/>
        </w:rPr>
        <w:t xml:space="preserve">ihr Büro heute mit Excel, Word und Outlook organisieren, </w:t>
      </w:r>
      <w:r>
        <w:rPr>
          <w:b/>
          <w:bCs/>
          <w:i w:val="false"/>
          <w:iCs w:val="false"/>
          <w:color w:val="333333"/>
        </w:rPr>
        <w:t xml:space="preserve">ist </w:t>
      </w:r>
      <w:r>
        <w:rPr>
          <w:b w:val="false"/>
          <w:bCs w:val="false"/>
          <w:i w:val="false"/>
          <w:iCs w:val="false"/>
          <w:color w:val="333333"/>
        </w:rPr>
        <w:t xml:space="preserve">plan&amp;simple die Bürosoftware, die HOAI-Honorare, Zeiterfassung, Projektwirtschaftlichkeit und E-Rechnung in einem einfachen Werkzeug vereint — </w:t>
      </w:r>
      <w:r>
        <w:rPr>
          <w:b/>
          <w:bCs/>
          <w:i w:val="false"/>
          <w:iCs w:val="false"/>
          <w:color w:val="333333"/>
        </w:rPr>
        <w:t xml:space="preserve">anders als </w:t>
      </w:r>
      <w:r>
        <w:rPr>
          <w:b w:val="false"/>
          <w:bCs w:val="false"/>
          <w:i w:val="false"/>
          <w:iCs w:val="false"/>
          <w:color w:val="333333"/>
        </w:rPr>
        <w:t xml:space="preserve">PROJEKT PRO, Kobold oder wiko, die auf große Büros zielen, Monate zur Einführung brauchen und ihre Preise verschweigen, ist plan&amp;simple in Tagen produktiv, fachlich tief und hat einen transparenten Preis.</w:t>
      </w:r>
    </w:p>
    <w:p>
      <w:pPr>
        <w:pStyle w:val="Heading2"/>
      </w:pPr>
      <w:r>
        <w:t xml:space="preserve">3.2  Die vier Differenzierungs-Säulen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700"/>
        <w:gridCol w:w="2300"/>
      </w:tblGrid>
      <w:tr>
        <w:trPr>
          <w:tblHeader/>
        </w:trPr>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Säule</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Warum sie sticht</w:t>
            </w:r>
          </w:p>
        </w:tc>
        <w:tc>
          <w:tcPr>
            <w:tcW w:type="dxa" w:w="2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Gegen wen</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Radikal einfaches Onboarding (Tage, geführter Excel-Import inkl.)</w:t>
            </w:r>
          </w:p>
        </w:tc>
        <w:tc>
          <w:tcPr>
            <w:tcW w:type="dxa" w:w="3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Senkt die größte reale Wechselhürde</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Etablierte Suiten (2–6 Mon.)</w:t>
            </w:r>
          </w:p>
        </w:tc>
      </w:tr>
      <w:tr>
        <w:tc>
          <w:tcPr>
            <w:tcW w:type="dxa" w:w="33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Transparentes All-inclusive-Pricing (Preis öffentlich)</w:t>
            </w:r>
          </w:p>
        </w:tc>
        <w:tc>
          <w:tcPr>
            <w:tcW w:type="dxa" w:w="37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Planbarkeit statt „Angebot auf Anfrage“</w:t>
            </w:r>
          </w:p>
        </w:tc>
        <w:tc>
          <w:tcPr>
            <w:tcW w:type="dxa" w:w="2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PROJEKT PRO, Kobold, wiko</w:t>
            </w:r>
          </w:p>
        </w:tc>
      </w:tr>
      <w:tr>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HOAI-Tiefe UND Einfachheit zugleich</w:t>
            </w:r>
          </w:p>
        </w:tc>
        <w:tc>
          <w:tcPr>
            <w:tcW w:type="dxa" w:w="3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Fachliche Pflicht ohne Überforderung</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clockodo/Office ↔ Kobold</w:t>
            </w:r>
          </w:p>
        </w:tc>
      </w:tr>
      <w:tr>
        <w:tc>
          <w:tcPr>
            <w:tcW w:type="dxa" w:w="33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E-Rechnung &amp; Wirtschaftlichkeit ab Werk</w:t>
            </w:r>
          </w:p>
        </w:tc>
        <w:tc>
          <w:tcPr>
            <w:tcW w:type="dxa" w:w="37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Erfüllt Gesetzespflicht und Margendruck</w:t>
            </w:r>
          </w:p>
        </w:tc>
        <w:tc>
          <w:tcPr>
            <w:tcW w:type="dxa" w:w="2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Excel/Word, manuelle Kalkulation</w:t>
            </w:r>
          </w:p>
        </w:tc>
      </w:tr>
    </w:tbl>
    <w:p>
      <w:pPr>
        <w:spacing w:after="120"/>
      </w:pPr>
      <w:r>
        <w:t xml:space="preserve"/>
      </w:r>
    </w:p>
    <w:p>
      <w:pPr>
        <w:pStyle w:val="Heading2"/>
      </w:pPr>
      <w:r>
        <w:t xml:space="preserve">3.3  Messaging-Haus</w:t>
      </w:r>
    </w:p>
    <w:p>
      <w:pPr>
        <w:spacing w:after="140" w:line="276"/>
        <w:jc w:val="both"/>
      </w:pPr>
      <w:r>
        <w:rPr>
          <w:b/>
          <w:bCs/>
          <w:i w:val="false"/>
          <w:iCs w:val="false"/>
        </w:rPr>
        <w:t xml:space="preserve">Dachbotschaft (Tagline-Kandidaten):</w:t>
      </w:r>
    </w:p>
    <w:p>
      <w:pPr>
        <w:pStyle w:val="ListParagraph"/>
        <w:numPr>
          <w:ilvl w:val="0"/>
          <w:numId w:val="3"/>
        </w:numPr>
        <w:spacing w:after="70" w:line="270"/>
      </w:pPr>
      <w:r>
        <w:rPr>
          <w:b w:val="false"/>
          <w:bCs w:val="false"/>
          <w:i/>
          <w:iCs/>
        </w:rPr>
        <w:t xml:space="preserve">„Bürosoftware für Planer — so einfach wie Ihr Excel, so genau wie die HOAI.“</w:t>
      </w:r>
    </w:p>
    <w:p>
      <w:pPr>
        <w:pStyle w:val="ListParagraph"/>
        <w:numPr>
          <w:ilvl w:val="0"/>
          <w:numId w:val="3"/>
        </w:numPr>
        <w:spacing w:after="70" w:line="270"/>
      </w:pPr>
      <w:r>
        <w:rPr>
          <w:b w:val="false"/>
          <w:bCs w:val="false"/>
          <w:i/>
          <w:iCs/>
        </w:rPr>
        <w:t xml:space="preserve">„In Tagen produktiv. Endlich sehen, ob Ihre Projekte Geld verdienen.“</w:t>
      </w:r>
    </w:p>
    <w:p>
      <w:pPr>
        <w:pStyle w:val="ListParagraph"/>
        <w:numPr>
          <w:ilvl w:val="0"/>
          <w:numId w:val="3"/>
        </w:numPr>
        <w:spacing w:after="70" w:line="270"/>
      </w:pPr>
      <w:r>
        <w:rPr>
          <w:b w:val="false"/>
          <w:bCs w:val="false"/>
          <w:i/>
          <w:iCs/>
        </w:rPr>
        <w:t xml:space="preserve">„Das einfache Büro für Architekten und Ingenieure.“</w:t>
      </w:r>
    </w:p>
    <w:p>
      <w:pPr>
        <w:spacing w:after="140" w:line="276"/>
        <w:jc w:val="both"/>
      </w:pPr>
      <w:r>
        <w:rPr>
          <w:b/>
          <w:bCs/>
          <w:i w:val="false"/>
          <w:iCs w:val="false"/>
        </w:rPr>
        <w:t xml:space="preserve">Drei Beweis-Säulen unter dem Dach:</w:t>
      </w:r>
    </w:p>
    <w:p>
      <w:pPr>
        <w:pStyle w:val="ListParagraph"/>
        <w:numPr>
          <w:ilvl w:val="0"/>
          <w:numId w:val="3"/>
        </w:numPr>
        <w:spacing w:after="70" w:line="270"/>
      </w:pPr>
      <w:r>
        <w:rPr>
          <w:b/>
          <w:bCs/>
          <w:i w:val="false"/>
          <w:iCs w:val="false"/>
        </w:rPr>
        <w:t xml:space="preserve">Einfachheit: </w:t>
      </w:r>
      <w:r>
        <w:rPr>
          <w:b w:val="false"/>
          <w:bCs w:val="false"/>
          <w:i w:val="false"/>
          <w:iCs w:val="false"/>
        </w:rPr>
        <w:t xml:space="preserve">„Produktiv ab Tag 1, ohne Schulung. Ihre Excel-Daten übernehmen wir für Sie.“</w:t>
      </w:r>
    </w:p>
    <w:p>
      <w:pPr>
        <w:pStyle w:val="ListParagraph"/>
        <w:numPr>
          <w:ilvl w:val="0"/>
          <w:numId w:val="3"/>
        </w:numPr>
        <w:spacing w:after="70" w:line="270"/>
      </w:pPr>
      <w:r>
        <w:rPr>
          <w:b/>
          <w:bCs/>
          <w:i w:val="false"/>
          <w:iCs w:val="false"/>
        </w:rPr>
        <w:t xml:space="preserve">Wirtschaftlichkeit: </w:t>
      </w:r>
      <w:r>
        <w:rPr>
          <w:b w:val="false"/>
          <w:bCs w:val="false"/>
          <w:i w:val="false"/>
          <w:iCs w:val="false"/>
        </w:rPr>
        <w:t xml:space="preserve">„Echtzeit-Blick auf Honorarausschöpfung und Deckungsbeitrag je Leistungsphase — Gegensteuern, bevor das Projekt defizitär ist.“</w:t>
      </w:r>
    </w:p>
    <w:p>
      <w:pPr>
        <w:pStyle w:val="ListParagraph"/>
        <w:numPr>
          <w:ilvl w:val="0"/>
          <w:numId w:val="3"/>
        </w:numPr>
        <w:spacing w:after="70" w:line="270"/>
      </w:pPr>
      <w:r>
        <w:rPr>
          <w:b/>
          <w:bCs/>
          <w:i w:val="false"/>
          <w:iCs w:val="false"/>
        </w:rPr>
        <w:t xml:space="preserve">Pflicht erfüllt: </w:t>
      </w:r>
      <w:r>
        <w:rPr>
          <w:b w:val="false"/>
          <w:bCs w:val="false"/>
          <w:i w:val="false"/>
          <w:iCs w:val="false"/>
        </w:rPr>
        <w:t xml:space="preserve">„HOAI-konforme Abrechnung und E-Rechnung (XRechnung/ZUGFeRD) inklusive — ohne Zusatzmodul.“</w:t>
      </w:r>
    </w:p>
    <w:p>
      <w:pPr>
        <w:spacing w:after="140" w:line="276"/>
        <w:jc w:val="both"/>
      </w:pPr>
      <w:r>
        <w:rPr>
          <w:b/>
          <w:bCs/>
          <w:i w:val="false"/>
          <w:iCs w:val="false"/>
        </w:rPr>
        <w:t xml:space="preserve">Tonalität: </w:t>
      </w:r>
      <w:r>
        <w:rPr>
          <w:b w:val="false"/>
          <w:bCs w:val="false"/>
          <w:i w:val="false"/>
          <w:iCs w:val="false"/>
        </w:rPr>
        <w:t xml:space="preserve">sachlich, fachkundig, ohne Marketing-Phrasen. Diese Zielgruppe glaubt Substanz, nicht Superlativen. Deutsch, „Sie“.</w:t>
      </w:r>
    </w:p>
    <w:p>
      <w:pPr>
        <w:pStyle w:val="Heading2"/>
      </w:pPr>
      <w:r>
        <w:t xml:space="preserve">3.4  Noch zu schaffende Belege (Proof-Gap)</w:t>
      </w:r>
    </w:p>
    <w:p>
      <w:pPr>
        <w:spacing w:after="140" w:line="276"/>
        <w:jc w:val="both"/>
      </w:pPr>
      <w:r>
        <w:rPr>
          <w:b w:val="false"/>
          <w:bCs w:val="false"/>
          <w:i w:val="false"/>
          <w:iCs w:val="false"/>
        </w:rPr>
        <w:t xml:space="preserve">Messaging ohne Beweise verpufft. Vor/zum Launch zu erzeugen: 3–5 Referenz-Pilotbüros mit Originalzitat und Zahl („von 3 Tagen Rechnungslauf auf einen Nachmittag“), ein öffentliches Preis-Schaubild, eine 2-Minuten-Produkttour sowie Profile/Bewertungen auf den Vergleichsportalen.</w:t>
      </w:r>
    </w:p>
    <w:p>
      <w:pPr>
        <w:pStyle w:val="Heading1"/>
      </w:pPr>
      <w:r>
        <w:t xml:space="preserve">4  Wedge &amp; Land-and-Expand</w:t>
      </w:r>
    </w:p>
    <w:p>
      <w:pPr>
        <w:spacing w:after="140" w:line="276"/>
        <w:jc w:val="both"/>
      </w:pPr>
      <w:r>
        <w:rPr>
          <w:b w:val="false"/>
          <w:bCs w:val="false"/>
          <w:i w:val="false"/>
          <w:iCs w:val="false"/>
        </w:rPr>
        <w:t xml:space="preserve">Mit kleinem Budget gewinnt man nicht über Funktionsbreite, sondern über einen schmerzhaften Einstiegspunkt, der schnell Nutzen zeigt — und baut von dort aus.</w:t>
      </w:r>
    </w:p>
    <w:p>
      <w:pPr>
        <w:spacing w:after="140" w:line="276"/>
        <w:jc w:val="both"/>
      </w:pPr>
      <w:r>
        <w:rPr>
          <w:b/>
          <w:bCs/>
          <w:i w:val="false"/>
          <w:iCs w:val="false"/>
        </w:rPr>
        <w:t xml:space="preserve">Empfohlener Wedge: Zeiterfassung + Projektwirtschaftlichkeit. </w:t>
      </w:r>
      <w:r>
        <w:rPr>
          <w:b w:val="false"/>
          <w:bCs w:val="false"/>
          <w:i w:val="false"/>
          <w:iCs w:val="false"/>
        </w:rPr>
        <w:t xml:space="preserve">Es ist der täglich spürbare Schmerz (Pain #1), niedrigschwellig einzuführen und liefert sofort eine Erkenntnis, die das Büro vorher nicht hatte („dieses Projekt ist defizitär“). Von dort wird hochverkauft: Zeiterfassung → Kalkulation/HOAI → Rechnung/E-Rechnung → Controlling.</w:t>
      </w:r>
    </w:p>
    <w:p>
      <w:pPr>
        <w:spacing w:after="140" w:line="276"/>
        <w:jc w:val="both"/>
      </w:pPr>
      <w:r>
        <w:rPr>
          <w:b/>
          <w:bCs/>
          <w:i w:val="false"/>
          <w:iCs w:val="false"/>
        </w:rPr>
        <w:t xml:space="preserve">E-Rechnung ist der Vertriebs-Anlass, nicht der Wedge. </w:t>
      </w:r>
      <w:r>
        <w:rPr>
          <w:b w:val="false"/>
          <w:bCs w:val="false"/>
          <w:i w:val="false"/>
          <w:iCs w:val="false"/>
        </w:rPr>
        <w:t xml:space="preserve">Sie öffnet die Tür („Sie müssen ohnehin handeln“), begeistert aber allein niemanden. Reihenfolge im Gespräch: Anlass E-Rechnung → Aha Wirtschaftlichkeit → Bindung alles in einem Tool.</w:t>
      </w:r>
    </w:p>
    <w:p>
      <w:pPr>
        <w:pBdr>
          <w:left w:val="single" w:color="2E5496" w:sz="18" w:space="12"/>
        </w:pBdr>
        <w:shd w:fill="F1F5FB" w:val="clear"/>
        <w:spacing w:after="160" w:before="120" w:line="276"/>
        <w:jc w:val="both"/>
      </w:pPr>
      <w:r>
        <w:rPr>
          <w:b/>
          <w:bCs/>
          <w:i w:val="false"/>
          <w:iCs w:val="false"/>
          <w:color w:val="333333"/>
        </w:rPr>
        <w:t xml:space="preserve">Packaging-Konsequenz (betrifft Lizenzkonzept): </w:t>
      </w:r>
      <w:r>
        <w:rPr>
          <w:b w:val="false"/>
          <w:bCs w:val="false"/>
          <w:i w:val="false"/>
          <w:iCs w:val="false"/>
          <w:color w:val="333333"/>
        </w:rPr>
        <w:t xml:space="preserve">E-Rechnung (XRechnung) und HOAI-Abrechnung dürfen nicht aus dem Einstiegsplan (Basic) ausgegated werden. Beide sind gesetzliche Pflicht bzw. fachliche Eintrittsbarriere — werden sie zum Upsell, zerstört das den Wedge. Differenzieren über Tiefe (Mehrnutzer, erweitertes Controlling, Liquiditätsplanung, Schnittstellen), nicht über die Pflichtfunktionen.</w:t>
      </w:r>
    </w:p>
    <w:p>
      <w:pPr>
        <w:pStyle w:val="Heading1"/>
      </w:pPr>
      <w:r>
        <w:t xml:space="preserve">5  Pricing &amp; Packaging — Entscheidung</w:t>
      </w:r>
    </w:p>
    <w:p>
      <w:pPr>
        <w:spacing w:after="140" w:line="276"/>
        <w:jc w:val="both"/>
      </w:pPr>
      <w:r>
        <w:rPr>
          <w:b w:val="false"/>
          <w:bCs w:val="false"/>
          <w:i w:val="false"/>
          <w:iCs w:val="false"/>
        </w:rPr>
        <w:t xml:space="preserve">Die Marktanalyse liefert Szenarien (mittleres: 25 €/Seat/Monat, ~8 Mio. € ARR-Potenzial); das Lizenzkonzept liefert die Plan-Architektur (Free / Basic / Pro / Enterprise, Plan+Seat-basiert). Diese Empfehlung verbindet beides zu einer konkreten v1-Startentscheidung — bewusst als Hypothese gekennzeichnet, in den ersten Pilotgesprächen zu validieren.</w:t>
      </w:r>
    </w:p>
    <w:p>
      <w:pPr>
        <w:pStyle w:val="Heading2"/>
      </w:pPr>
      <w:r>
        <w:t xml:space="preserve">5.1  Empfohlenes Modell</w:t>
      </w:r>
    </w:p>
    <w:p>
      <w:pPr>
        <w:spacing w:after="140" w:line="276"/>
        <w:jc w:val="both"/>
      </w:pPr>
      <w:r>
        <w:rPr>
          <w:b/>
          <w:bCs/>
          <w:i w:val="false"/>
          <w:iCs w:val="false"/>
        </w:rPr>
        <w:t xml:space="preserve">Transparent, öffentlich ausgewiesen, all-inclusive bei den Pflichtfunktionen, monatlich kündbar, Preis je Nutzer mit Plan-Logik. </w:t>
      </w:r>
      <w:r>
        <w:rPr>
          <w:b w:val="false"/>
          <w:bCs w:val="false"/>
          <w:i w:val="false"/>
          <w:iCs w:val="false"/>
        </w:rPr>
        <w:t xml:space="preserve">Das Gegenteil von „Preis auf Anfrage“ — und damit selbst schon ein Differenzierungs- und Marketingargument.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60"/>
        <w:gridCol w:w="340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Plan</w:t>
            </w:r>
          </w:p>
        </w:tc>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Zielgruppe</w:t>
            </w:r>
          </w:p>
        </w:tc>
        <w:tc>
          <w:tcPr>
            <w:tcW w:type="dxa" w:w="27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Preis (v1-Hypothese)</w:t>
            </w:r>
          </w:p>
        </w:tc>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Enthält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Free / Test</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Solo, Evaluierung</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0 € (30 Tage Vollzugang)</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voller Funktionsumfang als Trial</w:t>
            </w:r>
          </w:p>
        </w:tc>
      </w:tr>
      <w:tr>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Basic</w:t>
            </w:r>
          </w:p>
        </w:tc>
        <w:tc>
          <w:tcPr>
            <w:tcW w:type="dxa" w:w="17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2–5 Personen</w:t>
            </w:r>
          </w:p>
        </w:tc>
        <w:tc>
          <w:tcPr>
            <w:tcW w:type="dxa" w:w="27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25 €/Nutzer/Mon. (jährl.) · 29 € (monatl.)</w:t>
            </w:r>
          </w:p>
        </w:tc>
        <w:tc>
          <w:tcPr>
            <w:tcW w:type="dxa" w:w="34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HOAI, Zeiterfassung, Angebote, Projekte, E-Rechnung, DATEV-Export</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Pro</w:t>
            </w:r>
          </w:p>
        </w:tc>
        <w:tc>
          <w:tcPr>
            <w:tcW w:type="dxa" w:w="1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6–10(–25) Personen</w:t>
            </w:r>
          </w:p>
        </w:tc>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39 €/Nutzer/Mon. (jährl.) · 45 € (monatl.)</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alles aus Basic + erw. Controlling, Liquiditäts-/Kapazitätsplanung</w:t>
            </w:r>
          </w:p>
        </w:tc>
      </w:tr>
      <w:tr>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Enterprise</w:t>
            </w:r>
          </w:p>
        </w:tc>
        <w:tc>
          <w:tcPr>
            <w:tcW w:type="dxa" w:w="17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25+ Personen</w:t>
            </w:r>
          </w:p>
        </w:tc>
        <w:tc>
          <w:tcPr>
            <w:tcW w:type="dxa" w:w="27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individuell</w:t>
            </w:r>
          </w:p>
        </w:tc>
        <w:tc>
          <w:tcPr>
            <w:tcW w:type="dxa" w:w="34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SLA, Sonderschnittstellen</w:t>
            </w:r>
          </w:p>
        </w:tc>
      </w:tr>
    </w:tbl>
    <w:p>
      <w:pPr>
        <w:spacing w:after="120"/>
      </w:pPr>
      <w:r>
        <w:t xml:space="preserve"/>
      </w:r>
    </w:p>
    <w:p>
      <w:pPr>
        <w:spacing w:after="140" w:line="276"/>
        <w:jc w:val="both"/>
      </w:pPr>
      <w:r>
        <w:rPr>
          <w:b w:val="false"/>
          <w:bCs w:val="false"/>
          <w:i w:val="false"/>
          <w:iCs w:val="false"/>
        </w:rPr>
        <w:t xml:space="preserve">Ein typisches 4-Personen-Büro im Basic ergibt ~100 €/Monat (≈ 1.200 €/Jahr ACV), ein 8-Personen-Büro im Pro ~310 €/Monat — exakt im Korridor der ACV-Annahmen der Marktanalyse (2–5 Pers. 1.200 €, 6–9 Pers. 2.500 €).</w:t>
      </w:r>
    </w:p>
    <w:p>
      <w:pPr>
        <w:pStyle w:val="Heading2"/>
      </w:pPr>
      <w:r>
        <w:t xml:space="preserve">5.2  Begründung</w:t>
      </w:r>
    </w:p>
    <w:p>
      <w:pPr>
        <w:pStyle w:val="ListParagraph"/>
        <w:numPr>
          <w:ilvl w:val="0"/>
          <w:numId w:val="3"/>
        </w:numPr>
        <w:spacing w:after="70" w:line="270"/>
      </w:pPr>
      <w:r>
        <w:rPr>
          <w:b/>
          <w:bCs/>
          <w:i w:val="false"/>
          <w:iCs w:val="false"/>
        </w:rPr>
        <w:t xml:space="preserve">Per-Seat statt Flatrate, </w:t>
      </w:r>
      <w:r>
        <w:rPr>
          <w:b w:val="false"/>
          <w:bCs w:val="false"/>
          <w:i w:val="false"/>
          <w:iCs w:val="false"/>
        </w:rPr>
        <w:t xml:space="preserve">weil es mit der Bürogröße skaliert, die Marktanalyse so modelliert, das Lizenzkonzept es empfiehlt und es den niedrigen Einstieg ermöglicht (Fairness = Vertriebsargument).</w:t>
      </w:r>
    </w:p>
    <w:p>
      <w:pPr>
        <w:pStyle w:val="ListParagraph"/>
        <w:numPr>
          <w:ilvl w:val="0"/>
          <w:numId w:val="3"/>
        </w:numPr>
        <w:spacing w:after="70" w:line="270"/>
      </w:pPr>
      <w:r>
        <w:rPr>
          <w:b/>
          <w:bCs/>
          <w:i w:val="false"/>
          <w:iCs w:val="false"/>
        </w:rPr>
        <w:t xml:space="preserve">Pflichtfunktionen in Basic </w:t>
      </w:r>
      <w:r>
        <w:rPr>
          <w:b w:val="false"/>
          <w:bCs w:val="false"/>
          <w:i w:val="false"/>
          <w:iCs w:val="false"/>
        </w:rPr>
        <w:t xml:space="preserve">— kein Ausgaten von E-Rechnung/HOAI (siehe Abschnitt 4).</w:t>
      </w:r>
    </w:p>
    <w:p>
      <w:pPr>
        <w:pStyle w:val="ListParagraph"/>
        <w:numPr>
          <w:ilvl w:val="0"/>
          <w:numId w:val="3"/>
        </w:numPr>
        <w:spacing w:after="70" w:line="270"/>
      </w:pPr>
      <w:r>
        <w:rPr>
          <w:b/>
          <w:bCs/>
          <w:i w:val="false"/>
          <w:iCs w:val="false"/>
        </w:rPr>
        <w:t xml:space="preserve">30-Tage-Vollzugang statt 14 Tage: </w:t>
      </w:r>
      <w:r>
        <w:rPr>
          <w:b w:val="false"/>
          <w:bCs w:val="false"/>
          <w:i w:val="false"/>
          <w:iCs w:val="false"/>
        </w:rPr>
        <w:t xml:space="preserve">Planungsprojekte haben lange Takte; in 14 Tagen entsteht kein „Aha“. Längere Probe ist hier ein bewusster Vorteil gegenüber projo &amp; Co.</w:t>
      </w:r>
    </w:p>
    <w:p>
      <w:pPr>
        <w:pStyle w:val="ListParagraph"/>
        <w:numPr>
          <w:ilvl w:val="0"/>
          <w:numId w:val="3"/>
        </w:numPr>
        <w:spacing w:after="70" w:line="270"/>
      </w:pPr>
      <w:r>
        <w:rPr>
          <w:b/>
          <w:bCs/>
          <w:i w:val="false"/>
          <w:iCs w:val="false"/>
        </w:rPr>
        <w:t xml:space="preserve">Geführte Migration inklusive, </w:t>
      </w:r>
      <w:r>
        <w:rPr>
          <w:b w:val="false"/>
          <w:bCs w:val="false"/>
          <w:i w:val="false"/>
          <w:iCs w:val="false"/>
        </w:rPr>
        <w:t xml:space="preserve">nicht als kostenpflichtige Dienstleistung — senkt die Wechselhürde direkt am Preis.</w:t>
      </w:r>
    </w:p>
    <w:p>
      <w:pPr>
        <w:pStyle w:val="Heading2"/>
      </w:pPr>
      <w:r>
        <w:t xml:space="preserve">5.3  Offen zu testen</w:t>
      </w:r>
    </w:p>
    <w:p>
      <w:pPr>
        <w:spacing w:after="140" w:line="276"/>
        <w:jc w:val="both"/>
      </w:pPr>
      <w:r>
        <w:rPr>
          <w:b w:val="false"/>
          <w:bCs w:val="false"/>
          <w:i w:val="false"/>
          <w:iCs w:val="false"/>
        </w:rPr>
        <w:t xml:space="preserve">Preis-Höhe (25/39 € kalibriert, nicht validiert), Jahres- vs. Monatsrabatt, Solo-Sondertarif (15–19 €), ob Pro über Funktion oder nur über Bürogröße abgegrenzt wird. Teil der Pilotgespräche (Abschnitt 8).</w:t>
      </w:r>
    </w:p>
    <w:p>
      <w:r>
        <w:br w:type="page"/>
      </w:r>
    </w:p>
    <w:p>
      <w:pPr>
        <w:pStyle w:val="Heading1"/>
      </w:pPr>
      <w:r>
        <w:t xml:space="preserve">6  Kanalstrategie — der „from scratch“-Kern</w:t>
      </w:r>
    </w:p>
    <w:p>
      <w:pPr>
        <w:spacing w:after="140" w:line="276"/>
        <w:jc w:val="both"/>
      </w:pPr>
      <w:r>
        <w:rPr>
          <w:b w:val="false"/>
          <w:bCs w:val="false"/>
          <w:i w:val="false"/>
          <w:iCs w:val="false"/>
        </w:rPr>
        <w:t xml:space="preserve">Hier liegt die eigentliche Arbeit. Die Kanäle sind nach Hebel pro eingesetzter (Solo-)Stunde und Kosten priorisiert. Faustregel: 2–3 Kanäle wirklich gut, statt acht halb.</w:t>
      </w:r>
    </w:p>
    <w:p>
      <w:pPr>
        <w:pStyle w:val="Heading2"/>
      </w:pPr>
      <w:r>
        <w:t xml:space="preserve">6.1  Priorisierung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500"/>
        <w:gridCol w:w="1500"/>
        <w:gridCol w:w="1300"/>
        <w:gridCol w:w="1500"/>
      </w:tblGrid>
      <w:tr>
        <w:trPr>
          <w:tblHeader/>
        </w:trPr>
        <w:tc>
          <w:tcPr>
            <w:tcW w:type="dxa" w:w="35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Kanal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Hebel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Kosten</w:t>
            </w:r>
          </w:p>
        </w:tc>
        <w:tc>
          <w:tcPr>
            <w:tcW w:type="dxa" w:w="13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Wirkung</w:t>
            </w:r>
          </w:p>
        </w:tc>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Priorität</w:t>
            </w:r>
          </w:p>
        </w:tc>
      </w:tr>
      <w:tr>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SEO / Content (HOAI, E-Rechnung, „Software-Vergleich“)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hoch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niedrig</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Tier 1</w:t>
            </w:r>
          </w:p>
        </w:tc>
      </w:tr>
      <w:tr>
        <w:tc>
          <w:tcPr>
            <w:tcW w:type="dxa" w:w="35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Vergleichsportale &amp; Reviews (plansync, phase0, OMR)</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hoch</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niedrig</w:t>
            </w:r>
          </w:p>
        </w:tc>
        <w:tc>
          <w:tcPr>
            <w:tcW w:type="dxa" w:w="1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schnell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Tier 1</w:t>
            </w:r>
          </w:p>
        </w:tc>
      </w:tr>
      <w:tr>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Founder-led Direktansprache + Pilotprogramm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hoch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niedrig (Zeit)</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schnell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Tier 1</w:t>
            </w:r>
          </w:p>
        </w:tc>
      </w:tr>
      <w:tr>
        <w:tc>
          <w:tcPr>
            <w:tcW w:type="dxa" w:w="35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Empfehlung / Referral (Pilotbüros)</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hoch</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sehr niedrig</w:t>
            </w:r>
          </w:p>
        </w:tc>
        <w:tc>
          <w:tcPr>
            <w:tcW w:type="dxa" w:w="1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Tier 1</w:t>
            </w:r>
          </w:p>
        </w:tc>
      </w:tr>
      <w:tr>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Kammer-/Verband-Fortbildung, Webinar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mittel–hoch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niedrig–mittel</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Tier 2</w:t>
            </w:r>
          </w:p>
        </w:tc>
      </w:tr>
      <w:tr>
        <w:tc>
          <w:tcPr>
            <w:tcW w:type="dxa" w:w="35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Fachmedien (Internet für Architekten, DAB, VBI)</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niedrig–mittel</w:t>
            </w:r>
          </w:p>
        </w:tc>
        <w:tc>
          <w:tcPr>
            <w:tcW w:type="dxa" w:w="1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Tier 2</w:t>
            </w:r>
          </w:p>
        </w:tc>
      </w:tr>
      <w:tr>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Steuerberater / DATEV-Partner als Multiplikatoren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niedrig</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langsam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Tier 2</w:t>
            </w:r>
          </w:p>
        </w:tc>
      </w:tr>
      <w:tr>
        <w:tc>
          <w:tcPr>
            <w:tcW w:type="dxa" w:w="35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Bezahlte Suchanzeigen (Google Ads)</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mittel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mittel–hoch</w:t>
            </w:r>
          </w:p>
        </w:tc>
        <w:tc>
          <w:tcPr>
            <w:tcW w:type="dxa" w:w="13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schnell</w:t>
            </w:r>
          </w:p>
        </w:tc>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Tier 3</w:t>
            </w:r>
          </w:p>
        </w:tc>
      </w:tr>
      <w:tr>
        <w:tc>
          <w:tcPr>
            <w:tcW w:type="dxa" w:w="3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Messen / Branchenevents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niedrig (solo)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hoch</w:t>
            </w:r>
          </w:p>
        </w:tc>
        <w:tc>
          <w:tcPr>
            <w:tcW w:type="dxa" w:w="1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langsam</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Tier 3</w:t>
            </w:r>
          </w:p>
        </w:tc>
      </w:tr>
    </w:tbl>
    <w:p>
      <w:pPr>
        <w:spacing w:after="120"/>
      </w:pPr>
      <w:r>
        <w:t xml:space="preserve"/>
      </w:r>
    </w:p>
    <w:p>
      <w:pPr>
        <w:pStyle w:val="Heading2"/>
      </w:pPr>
      <w:r>
        <w:t xml:space="preserve">6.2  Tier 1 — der Motor zum Launch</w:t>
      </w:r>
    </w:p>
    <w:p>
      <w:pPr>
        <w:spacing w:after="140" w:line="276"/>
        <w:jc w:val="both"/>
      </w:pPr>
      <w:r>
        <w:rPr>
          <w:b/>
          <w:bCs/>
          <w:i w:val="false"/>
          <w:iCs w:val="false"/>
        </w:rPr>
        <w:t xml:space="preserve">A) SEO &amp; Content rund um echte Suchanlässe. </w:t>
      </w:r>
      <w:r>
        <w:rPr>
          <w:b w:val="false"/>
          <w:bCs w:val="false"/>
          <w:i w:val="false"/>
          <w:iCs w:val="false"/>
        </w:rPr>
        <w:t xml:space="preserve">Die Zielgruppe googelt in akuten Momenten konkrete Probleme. Genau dort sichtbar sein mit Inhalten, die ehrlich helfen und plan&amp;simple als Lösung zeigen:</w:t>
      </w:r>
    </w:p>
    <w:p>
      <w:pPr>
        <w:pStyle w:val="ListParagraph"/>
        <w:numPr>
          <w:ilvl w:val="0"/>
          <w:numId w:val="3"/>
        </w:numPr>
        <w:spacing w:after="70" w:line="270"/>
      </w:pPr>
      <w:r>
        <w:rPr>
          <w:b/>
          <w:bCs/>
          <w:i w:val="false"/>
          <w:iCs w:val="false"/>
        </w:rPr>
        <w:t xml:space="preserve">E-Rechnungspflicht-Inhalte </w:t>
      </w:r>
      <w:r>
        <w:rPr>
          <w:b w:val="false"/>
          <w:bCs w:val="false"/>
          <w:i w:val="false"/>
          <w:iCs w:val="false"/>
        </w:rPr>
        <w:t xml:space="preserve">(„E-Rechnung für Architekten/Ingenieure 2027/2028 — was Sie jetzt tun müssen“) — hoher, datierter Suchdruck, geringe Wettbewerbsdichte für die Nische.</w:t>
      </w:r>
    </w:p>
    <w:p>
      <w:pPr>
        <w:pStyle w:val="ListParagraph"/>
        <w:numPr>
          <w:ilvl w:val="0"/>
          <w:numId w:val="3"/>
        </w:numPr>
        <w:spacing w:after="70" w:line="270"/>
      </w:pPr>
      <w:r>
        <w:rPr>
          <w:b/>
          <w:bCs/>
          <w:i w:val="false"/>
          <w:iCs w:val="false"/>
        </w:rPr>
        <w:t xml:space="preserve">HOAI-Inhalte </w:t>
      </w:r>
      <w:r>
        <w:rPr>
          <w:b w:val="false"/>
          <w:bCs w:val="false"/>
          <w:i w:val="false"/>
          <w:iCs w:val="false"/>
        </w:rPr>
        <w:t xml:space="preserve">(Honorarermittlung, Leistungsphasen, anrechenbare Kosten) — Dauerthema, demonstriert Tiefe.</w:t>
      </w:r>
    </w:p>
    <w:p>
      <w:pPr>
        <w:pStyle w:val="ListParagraph"/>
        <w:numPr>
          <w:ilvl w:val="0"/>
          <w:numId w:val="3"/>
        </w:numPr>
        <w:spacing w:after="70" w:line="270"/>
      </w:pPr>
      <w:r>
        <w:rPr>
          <w:b/>
          <w:bCs/>
          <w:i w:val="false"/>
          <w:iCs w:val="false"/>
        </w:rPr>
        <w:t xml:space="preserve">Vergleichs-/Alternativ-Inhalte </w:t>
      </w:r>
      <w:r>
        <w:rPr>
          <w:b w:val="false"/>
          <w:bCs w:val="false"/>
          <w:i w:val="false"/>
          <w:iCs w:val="false"/>
        </w:rPr>
        <w:t xml:space="preserve">(„PROJEKT PRO Alternative für kleine Büros“, „Architektensoftware Vergleich 2026“) — von Wettbewerbern besetzt; eine ehrliche, kleinbüro-fokussierte Sicht ist eine offene Lücke.</w:t>
      </w:r>
    </w:p>
    <w:p>
      <w:pPr>
        <w:spacing w:after="140" w:line="276"/>
        <w:jc w:val="both"/>
      </w:pPr>
      <w:r>
        <w:rPr>
          <w:b/>
          <w:bCs/>
          <w:i w:val="false"/>
          <w:iCs w:val="false"/>
        </w:rPr>
        <w:t xml:space="preserve">B) Vergleichsportale &amp; Reviews. </w:t>
      </w:r>
      <w:r>
        <w:rPr>
          <w:b w:val="false"/>
          <w:bCs w:val="false"/>
          <w:i w:val="false"/>
          <w:iCs w:val="false"/>
        </w:rPr>
        <w:t xml:space="preserve">Die Marktanalyse selbst stützt sich auf plansync, phase0 und softwareabc24 — dort recherchiert die Zielgruppe aktiv. Zum Launch in allen relevanten Vergleichen mit korrektem Profil gelistet sein, OMR-Reviews-/Capterra-Eintrag anlegen, Pilotbüros um ehrliche Bewertung bitten.</w:t>
      </w:r>
    </w:p>
    <w:p>
      <w:pPr>
        <w:spacing w:after="140" w:line="276"/>
        <w:jc w:val="both"/>
      </w:pPr>
      <w:r>
        <w:rPr>
          <w:b/>
          <w:bCs/>
          <w:i w:val="false"/>
          <w:iCs w:val="false"/>
        </w:rPr>
        <w:t xml:space="preserve">C) Founder-led Direktansprache + Pilotprogramm. </w:t>
      </w:r>
      <w:r>
        <w:rPr>
          <w:b w:val="false"/>
          <w:bCs w:val="false"/>
          <w:i w:val="false"/>
          <w:iCs w:val="false"/>
        </w:rPr>
        <w:t xml:space="preserve">Die ersten 10–20 Kunden gewinnt kein SEO, sondern persönliche Ansprache. Gezielt kleine Büros identifizieren (Kammer-Verzeichnisse, lokale Netzwerke, eigenes Umfeld), ein Design-Partner-Programm anbieten: vergünstigt/kostenlos im ersten Jahr gegen Feedback, Referenz und Bewertung.</w:t>
      </w:r>
    </w:p>
    <w:p>
      <w:pPr>
        <w:spacing w:after="140" w:line="276"/>
        <w:jc w:val="both"/>
      </w:pPr>
      <w:r>
        <w:rPr>
          <w:b/>
          <w:bCs/>
          <w:i w:val="false"/>
          <w:iCs w:val="false"/>
        </w:rPr>
        <w:t xml:space="preserve">D) Empfehlung/Referral. </w:t>
      </w:r>
      <w:r>
        <w:rPr>
          <w:b w:val="false"/>
          <w:bCs w:val="false"/>
          <w:i w:val="false"/>
          <w:iCs w:val="false"/>
        </w:rPr>
        <w:t xml:space="preserve">In einer eng vernetzten, kammergebundenen Branche wiegt Kollegenempfehlung schwer. Ab dem ersten zufriedenen Büro aktiv um Weiterempfehlung bitten; später ein Empfehlungsincentive.</w:t>
      </w:r>
    </w:p>
    <w:p>
      <w:pPr>
        <w:pStyle w:val="Heading2"/>
      </w:pPr>
      <w:r>
        <w:t xml:space="preserve">6.3  Tier 2 — Multiplikatoren (parallel anbahnen)</w:t>
      </w:r>
    </w:p>
    <w:p>
      <w:pPr>
        <w:pStyle w:val="ListParagraph"/>
        <w:numPr>
          <w:ilvl w:val="0"/>
          <w:numId w:val="3"/>
        </w:numPr>
        <w:spacing w:after="70" w:line="270"/>
      </w:pPr>
      <w:r>
        <w:rPr>
          <w:b/>
          <w:bCs/>
          <w:i w:val="false"/>
          <w:iCs w:val="false"/>
        </w:rPr>
        <w:t xml:space="preserve">Architekten-/Ingenieurkammern: </w:t>
      </w:r>
      <w:r>
        <w:rPr>
          <w:b w:val="false"/>
          <w:bCs w:val="false"/>
          <w:i w:val="false"/>
          <w:iCs w:val="false"/>
        </w:rPr>
        <w:t xml:space="preserve">bieten landesweit Fortbildungen, u. a. HOAI-Seminare (AKBW/IFBau, BYAK, AKNW, AKHH). Ein kostenloses Praxis-Webinar („HOAI-Honorare und E-Rechnung im kleinen Büro“) positioniert als Experten, nicht als Werbung.</w:t>
      </w:r>
    </w:p>
    <w:p>
      <w:pPr>
        <w:pStyle w:val="ListParagraph"/>
        <w:numPr>
          <w:ilvl w:val="0"/>
          <w:numId w:val="3"/>
        </w:numPr>
        <w:spacing w:after="70" w:line="270"/>
      </w:pPr>
      <w:r>
        <w:rPr>
          <w:b/>
          <w:bCs/>
          <w:i w:val="false"/>
          <w:iCs w:val="false"/>
        </w:rPr>
        <w:t xml:space="preserve">Fachmedien: </w:t>
      </w:r>
      <w:r>
        <w:rPr>
          <w:b w:val="false"/>
          <w:bCs w:val="false"/>
          <w:i w:val="false"/>
          <w:iCs w:val="false"/>
        </w:rPr>
        <w:t xml:space="preserve">„Internet für Architekten“ (Tool-naher Content-Hub), Deutsches Architektenblatt/DABonline, VBI-Kanäle. Gastbeitrag statt Display-Anzeige.</w:t>
      </w:r>
    </w:p>
    <w:p>
      <w:pPr>
        <w:pStyle w:val="ListParagraph"/>
        <w:numPr>
          <w:ilvl w:val="0"/>
          <w:numId w:val="3"/>
        </w:numPr>
        <w:spacing w:after="70" w:line="270"/>
      </w:pPr>
      <w:r>
        <w:rPr>
          <w:b/>
          <w:bCs/>
          <w:i w:val="false"/>
          <w:iCs w:val="false"/>
        </w:rPr>
        <w:t xml:space="preserve">Steuerberater &amp; DATEV-Umfeld: </w:t>
      </w:r>
      <w:r>
        <w:rPr>
          <w:b w:val="false"/>
          <w:bCs w:val="false"/>
          <w:i w:val="false"/>
          <w:iCs w:val="false"/>
        </w:rPr>
        <w:t xml:space="preserve">beraten Büros gerade zur E-Rechnung. Saubere DATEV-Schnittstelle macht plan&amp;simple empfehlbar — langsamer, aber günstiger Multiplikatorkanal.</w:t>
      </w:r>
    </w:p>
    <w:p>
      <w:pPr>
        <w:pStyle w:val="Heading2"/>
      </w:pPr>
      <w:r>
        <w:t xml:space="preserve">6.4  Tier 3 — später / dosiert</w:t>
      </w:r>
    </w:p>
    <w:p>
      <w:pPr>
        <w:spacing w:after="140" w:line="276"/>
        <w:jc w:val="both"/>
      </w:pPr>
      <w:r>
        <w:rPr>
          <w:b w:val="false"/>
          <w:bCs w:val="false"/>
          <w:i w:val="false"/>
          <w:iCs w:val="false"/>
        </w:rPr>
        <w:t xml:space="preserve">Google Ads erst, wenn Landingpage und Conversion stehen und ein klarer Begriff lohnt (z. B. „E-Rechnung Architekt Software“) — klein und messscharf, nicht als Hauptkanal. Messen/Events für Solo zu teuer.</w:t>
      </w:r>
    </w:p>
    <w:p>
      <w:r>
        <w:br w:type="page"/>
      </w:r>
    </w:p>
    <w:p>
      <w:pPr>
        <w:pStyle w:val="Heading1"/>
      </w:pPr>
      <w:r>
        <w:t xml:space="preserve">7  Funnel &amp; Conversion</w:t>
      </w:r>
    </w:p>
    <w:p>
      <w:pPr>
        <w:pStyle w:val="Heading2"/>
      </w:pPr>
      <w:r>
        <w:t xml:space="preserve">7.1  Trichterlogik</w:t>
      </w:r>
    </w:p>
    <w:p>
      <w:pPr>
        <w:spacing w:after="140" w:line="276"/>
        <w:jc w:val="both"/>
      </w:pPr>
      <w:r>
        <w:rPr>
          <w:b w:val="false"/>
          <w:bCs w:val="false"/>
          <w:i w:val="false"/>
          <w:iCs w:val="false"/>
        </w:rPr>
        <w:t xml:space="preserve">Sichtbarkeit (SEO, Portale, Webinar, Empfehlung) → Website/Landingpage (Positionierung + öffentlicher Preis) → Lead-Magnet oder direkter Trial-Start (30 Tage) → geführtes Onboarding mit Excel-Import (der entscheidende Conversion-Hebel) → „Aha“ (erste Auswertung / erste E-Rechnung) → zahlender Kunde → Expand (mehr Sitze, Pro) + Empfehlung.</w:t>
      </w:r>
    </w:p>
    <w:p>
      <w:pPr>
        <w:pStyle w:val="Heading2"/>
      </w:pPr>
      <w:r>
        <w:t xml:space="preserve">7.2  Website / Landingpage (Pflicht-Asset Nr. 1)</w:t>
      </w:r>
    </w:p>
    <w:p>
      <w:pPr>
        <w:spacing w:after="140" w:line="276"/>
        <w:jc w:val="both"/>
      </w:pPr>
      <w:r>
        <w:rPr>
          <w:b w:val="false"/>
          <w:bCs w:val="false"/>
          <w:i w:val="false"/>
          <w:iCs w:val="false"/>
        </w:rPr>
        <w:t xml:space="preserve">Muss vor allen Kanälen stehen, denn jeder Kanal führt hierhin. Mindestanforderungen: glasklare Dachbotschaft „above the fold“, öffentliche Preistabelle, 2-Minuten-Produkttour, 3 Pilot-Referenzen, ein E-Rechnungs-/HOAI-Ratgeberbereich (SEO), ein prominenter, hürdenarmer Trial-Start ohne Verkaufsgespräch-Zwang. Sprache: Deutsch, „Sie“, sachlich.</w:t>
      </w:r>
    </w:p>
    <w:p>
      <w:pPr>
        <w:pStyle w:val="Heading2"/>
      </w:pPr>
      <w:r>
        <w:t xml:space="preserve">7.3  Lead-Magnet</w:t>
      </w:r>
    </w:p>
    <w:p>
      <w:pPr>
        <w:spacing w:after="140" w:line="276"/>
        <w:jc w:val="both"/>
      </w:pPr>
      <w:r>
        <w:rPr>
          <w:b w:val="false"/>
          <w:bCs w:val="false"/>
          <w:i w:val="false"/>
          <w:iCs w:val="false"/>
        </w:rPr>
        <w:t xml:space="preserve">Für Besucher, die noch nicht testen wollen: ein konkretes, sofort nützliches Werkzeug im Tausch gegen die E-Mail-Adresse — z. B. „E-Rechnungspflicht-Check für Planungsbüros“ (Checkliste/Mini-Tool) oder eine HOAI-Honorar-Vorlage. Beides nährt zugleich die SEO-Inhalte und baut eine erste E-Mail-Liste für den Launch auf.</w:t>
      </w:r>
    </w:p>
    <w:p>
      <w:pPr>
        <w:pStyle w:val="Heading2"/>
      </w:pPr>
      <w:r>
        <w:t xml:space="preserve">7.4  Onboarding als Conversion- und Differenzierungs-Hebel</w:t>
      </w:r>
    </w:p>
    <w:p>
      <w:pPr>
        <w:spacing w:after="140" w:line="276"/>
        <w:jc w:val="both"/>
      </w:pPr>
      <w:r>
        <w:rPr>
          <w:b w:val="false"/>
          <w:bCs w:val="false"/>
          <w:i w:val="false"/>
          <w:iCs w:val="false"/>
        </w:rPr>
        <w:t xml:space="preserve">Im Kleinsegment entscheidet das Onboarding über Kauf oder Abbruch — und ist gleichzeitig das stärkste Unterscheidungsmerkmal. Konkret: geführter Excel-Import (Mapping-Assistent für Projekt-, Stunden-, Stammdaten), Vorlagen out of the box (HOAI-Leistungsbilder, DIN 276), Sofort-Nutzen ohne Schulung, begleiteter Cut-over mit einem Pilotprojekt statt Parallelbetrieb, plus sichtbare Export-/Exit-Optionen gegen die Lock-in-Sorge.</w:t>
      </w:r>
    </w:p>
    <w:p>
      <w:pPr>
        <w:pStyle w:val="Heading1"/>
      </w:pPr>
      <w:r>
        <w:t xml:space="preserve">8  Sales-Motion</w:t>
      </w:r>
    </w:p>
    <w:p>
      <w:pPr>
        <w:spacing w:after="140" w:line="276"/>
        <w:jc w:val="both"/>
      </w:pPr>
      <w:r>
        <w:rPr>
          <w:b/>
          <w:bCs/>
          <w:i w:val="false"/>
          <w:iCs w:val="false"/>
        </w:rPr>
        <w:t xml:space="preserve">Hybrid, mit Verschiebung über die Zeit:</w:t>
      </w:r>
    </w:p>
    <w:p>
      <w:pPr>
        <w:pStyle w:val="ListParagraph"/>
        <w:numPr>
          <w:ilvl w:val="0"/>
          <w:numId w:val="3"/>
        </w:numPr>
        <w:spacing w:after="70" w:line="270"/>
      </w:pPr>
      <w:r>
        <w:rPr>
          <w:b/>
          <w:bCs/>
          <w:i w:val="false"/>
          <w:iCs w:val="false"/>
        </w:rPr>
        <w:t xml:space="preserve">Phase 1 (erste ~20 Kunden): Founder-led. </w:t>
      </w:r>
      <w:r>
        <w:rPr>
          <w:b w:val="false"/>
          <w:bCs w:val="false"/>
          <w:i w:val="false"/>
          <w:iCs w:val="false"/>
        </w:rPr>
        <w:t xml:space="preserve">Persönliche Pilotgespräche, eng begleitet. Ziel ist nicht nur Umsatz, sondern Lernen: Welche Botschaft zieht? Stimmt der Preis? Wo bricht das Onboarding? Diese Gespräche validieren die offenen Pricing-/Messaging-Hypothesen.</w:t>
      </w:r>
    </w:p>
    <w:p>
      <w:pPr>
        <w:pStyle w:val="ListParagraph"/>
        <w:numPr>
          <w:ilvl w:val="0"/>
          <w:numId w:val="3"/>
        </w:numPr>
        <w:spacing w:after="70" w:line="270"/>
      </w:pPr>
      <w:r>
        <w:rPr>
          <w:b/>
          <w:bCs/>
          <w:i w:val="false"/>
          <w:iCs w:val="false"/>
        </w:rPr>
        <w:t xml:space="preserve">Phase 2 (Skalierung): Self-Service-first. </w:t>
      </w:r>
      <w:r>
        <w:rPr>
          <w:b w:val="false"/>
          <w:bCs w:val="false"/>
          <w:i w:val="false"/>
          <w:iCs w:val="false"/>
        </w:rPr>
        <w:t xml:space="preserve">Sobald Trial→Paid ohne Handauflegen funktioniert, wird Direktvertrieb zur Ausnahme (größere Büros, Enterprise). Die einzige Motion, die für einen Solo-Gründer skaliert.</w:t>
      </w:r>
    </w:p>
    <w:p>
      <w:pPr>
        <w:spacing w:after="140" w:line="276"/>
        <w:jc w:val="both"/>
      </w:pPr>
      <w:r>
        <w:rPr>
          <w:b/>
          <w:bCs/>
          <w:i w:val="false"/>
          <w:iCs w:val="false"/>
        </w:rPr>
        <w:t xml:space="preserve">Design-Partner-Programm (jetzt aufsetzen): </w:t>
      </w:r>
      <w:r>
        <w:rPr>
          <w:b w:val="false"/>
          <w:bCs w:val="false"/>
          <w:i w:val="false"/>
          <w:iCs w:val="false"/>
        </w:rPr>
        <w:t xml:space="preserve">10–20 Büros, vergünstigt/gratis im ersten Jahr, im Gegenzug Feedback, namentliche Referenz und Portal-Bewertung. Vertriebs-, Produkt- und Marketingmotor in einem.</w:t>
      </w:r>
    </w:p>
    <w:p>
      <w:r>
        <w:br w:type="page"/>
      </w:r>
    </w:p>
    <w:p>
      <w:pPr>
        <w:pStyle w:val="Heading1"/>
      </w:pPr>
      <w:r>
        <w:t xml:space="preserve">9  Launch-Fahrplan bis Q4 2026</w:t>
      </w:r>
    </w:p>
    <w:p>
      <w:pPr>
        <w:spacing w:after="140" w:line="276"/>
        <w:jc w:val="both"/>
      </w:pPr>
      <w:r>
        <w:rPr>
          <w:b w:val="false"/>
          <w:bCs w:val="false"/>
          <w:i w:val="false"/>
          <w:iCs w:val="false"/>
        </w:rPr>
        <w:t xml:space="preserve">Rückwärts geplant ab 25. Juni 2026. Realistisch für eine Person — Schwerpunkte, nicht Vollauslastung auf allen Spuren gleichzeitig.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Zeitraum</w:t>
            </w:r>
          </w:p>
        </w:tc>
        <w:tc>
          <w:tcPr>
            <w:tcW w:type="dxa" w:w="19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Schwerpunkt</w:t>
            </w:r>
          </w:p>
        </w:tc>
        <w:tc>
          <w:tcPr>
            <w:tcW w:type="dxa" w:w="59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Konkrete Ergebnisse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Jul 2026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Fundament</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Finale Botschaft &amp; Preisseite; Landingpage live; Trial-Flow + geführter Excel-Import nutzbar; Sicherheitslücken vor Verkauf geschlossen (JWT-Secret, CORS, Rate-Limiting)</w:t>
            </w:r>
          </w:p>
        </w:tc>
      </w:tr>
      <w:tr>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Aug 2026</w:t>
            </w:r>
          </w:p>
        </w:tc>
        <w:tc>
          <w:tcPr>
            <w:tcW w:type="dxa" w:w="19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Design-Partner</w:t>
            </w:r>
          </w:p>
        </w:tc>
        <w:tc>
          <w:tcPr>
            <w:tcW w:type="dxa" w:w="59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10–20 Pilotbüros angesprochen, 5+ onboardet; erste Referenzzitate; Lead-Magnet live; erste SEO-Artikel (E-Rechnung, HOAI)</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Sep 2026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Beta &amp; Beweise</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Pilot-Feedback eingearbeitet; 3–5 Referenzen; Portal-Profile + erste Reviews; Kammer-Webinar terminiert; E-Mail-Liste im Aufbau</w:t>
            </w:r>
          </w:p>
        </w:tc>
      </w:tr>
      <w:tr>
        <w:tc>
          <w:tcPr>
            <w:tcW w:type="dxa" w:w="15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Okt 2026</w:t>
            </w:r>
          </w:p>
        </w:tc>
        <w:tc>
          <w:tcPr>
            <w:tcW w:type="dxa" w:w="19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Soft Launch</w:t>
            </w:r>
          </w:p>
        </w:tc>
        <w:tc>
          <w:tcPr>
            <w:tcW w:type="dxa" w:w="59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Öffentliche Verfügbarkeit; Webinar #1 mit Kammer/Verband; Content-Frequenz hoch; Direktansprache skaliert; erste zahlende Kunden</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Nov–Dez 2026</w:t>
            </w:r>
          </w:p>
        </w:tc>
        <w:tc>
          <w:tcPr>
            <w:tcW w:type="dxa" w:w="1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Public Launch &amp; Momentum</w:t>
            </w:r>
          </w:p>
        </w:tc>
        <w:tc>
          <w:tcPr>
            <w:tcW w:type="dxa" w:w="59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Launch-Kommunikation über alle Tier-1/2-Kanäle; erste kleine Google-Ads-Tests; Referral aktiv; Jahresende als E-Rechnungs-Aufhänger; Plan H1 2027</w:t>
            </w:r>
          </w:p>
        </w:tc>
      </w:tr>
    </w:tbl>
    <w:p>
      <w:pPr>
        <w:spacing w:after="120"/>
      </w:pPr>
      <w:r>
        <w:t xml:space="preserve"/>
      </w:r>
    </w:p>
    <w:p>
      <w:pPr>
        <w:pBdr>
          <w:left w:val="single" w:color="2E5496" w:sz="18" w:space="12"/>
        </w:pBdr>
        <w:shd w:fill="F1F5FB" w:val="clear"/>
        <w:spacing w:after="160" w:before="120" w:line="276"/>
        <w:jc w:val="both"/>
      </w:pPr>
      <w:r>
        <w:rPr>
          <w:b/>
          <w:bCs/>
          <w:i w:val="false"/>
          <w:iCs w:val="false"/>
          <w:color w:val="333333"/>
        </w:rPr>
        <w:t xml:space="preserve">Launch-Blocker aus dem Produkt: </w:t>
      </w:r>
      <w:r>
        <w:rPr>
          <w:b w:val="false"/>
          <w:bCs w:val="false"/>
          <w:i w:val="false"/>
          <w:iCs w:val="false"/>
          <w:color w:val="333333"/>
        </w:rPr>
        <w:t xml:space="preserve">Vor dem ersten echten Verkauf müssen die in CLAUDE.md / Lizenzkonzept genannten Sicherheitslücken geschlossen sein (JWT-Secret-Fallback, offenes CORS, fehlendes Rate-Limiting). Das ist ein harter Launch-Blocker, kein „nice to have“.</w:t>
      </w:r>
    </w:p>
    <w:p>
      <w:pPr>
        <w:pStyle w:val="Heading1"/>
      </w:pPr>
      <w:r>
        <w:t xml:space="preserve">10  Ziele &amp; Metriken</w:t>
      </w:r>
    </w:p>
    <w:p>
      <w:pPr>
        <w:spacing w:after="140" w:line="276"/>
        <w:jc w:val="both"/>
      </w:pPr>
      <w:r>
        <w:rPr>
          <w:b/>
          <w:bCs/>
          <w:i w:val="false"/>
          <w:iCs w:val="false"/>
        </w:rPr>
        <w:t xml:space="preserve">North Star: </w:t>
      </w:r>
      <w:r>
        <w:rPr>
          <w:b w:val="false"/>
          <w:bCs w:val="false"/>
          <w:i w:val="false"/>
          <w:iCs w:val="false"/>
        </w:rPr>
        <w:t xml:space="preserve">Anzahl aktiver zahlender Büros (nicht Sitze, nicht Trials) — die ehrlichste Messgröße für Product-Market-Fit im Kleinsegment.</w:t>
      </w:r>
    </w:p>
    <w:p>
      <w:pPr>
        <w:spacing w:after="140" w:line="276"/>
        <w:jc w:val="both"/>
      </w:pPr>
      <w:r>
        <w:rPr>
          <w:b/>
          <w:bCs/>
          <w:i w:val="false"/>
          <w:iCs w:val="false"/>
        </w:rPr>
        <w:t xml:space="preserve">Trichter-KPIs: </w:t>
      </w:r>
      <w:r>
        <w:rPr>
          <w:b w:val="false"/>
          <w:bCs w:val="false"/>
          <w:i w:val="false"/>
          <w:iCs w:val="false"/>
        </w:rPr>
        <w:t xml:space="preserve">Besucher → Trial-Start (~3–5 %) → aktivierte Trials (erster Excel-Import + erste Auswertung) → Trial→Paid (~20–30 % der aktivierten Trials) → Monatsbindung / Expand auf mehr Sitze/Pro.</w:t>
      </w:r>
    </w:p>
    <w:p>
      <w:pPr>
        <w:spacing w:after="140" w:line="276"/>
        <w:jc w:val="both"/>
      </w:pPr>
      <w:r>
        <w:rPr>
          <w:b/>
          <w:bCs/>
          <w:i w:val="false"/>
          <w:iCs w:val="false"/>
        </w:rPr>
        <w:t xml:space="preserve">Realistische Zielmarken (illustrativ, Solo/bootstrapped):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Zeitpunkt</w:t>
            </w:r>
          </w:p>
        </w:tc>
        <w:tc>
          <w:tcPr>
            <w:tcW w:type="dxa" w:w="33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Zahlende Büros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9"/>
                <w:szCs w:val="19"/>
              </w:rPr>
              <w:t xml:space="preserve">ARR (grobe Indikation)</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Launch (Okt 2026)</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5–15 (inkl. Pilot-Konvertierungen)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erste Tausender</w:t>
            </w:r>
          </w:p>
        </w:tc>
      </w:tr>
      <w:tr>
        <w:tc>
          <w:tcPr>
            <w:tcW w:type="dxa" w:w="30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Ende 2026</w:t>
            </w:r>
          </w:p>
        </w:tc>
        <w:tc>
          <w:tcPr>
            <w:tcW w:type="dxa" w:w="336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15–30</w:t>
            </w:r>
          </w:p>
        </w:tc>
        <w:tc>
          <w:tcPr>
            <w:tcW w:type="dxa" w:w="3000"/>
            <w:tcBorders>
              <w:top w:val="single" w:color="BBBBBB" w:sz="1"/>
              <w:left w:val="single" w:color="BBBBBB" w:sz="1"/>
              <w:bottom w:val="single" w:color="BBBBBB" w:sz="1"/>
              <w:right w:val="single" w:color="BBBBBB" w:sz="1"/>
            </w:tcBorders>
            <w:shd w:fill="EEF3FB" w:val="clear"/>
            <w:tcMar>
              <w:top w:type="dxa" w:w="60"/>
              <w:left w:type="dxa" w:w="110"/>
              <w:bottom w:type="dxa" w:w="60"/>
              <w:right w:type="dxa" w:w="110"/>
            </w:tcMar>
          </w:tcPr>
          <w:p>
            <w:pPr>
              <w:jc w:val="left"/>
            </w:pPr>
            <w:r>
              <w:rPr>
                <w:b w:val="false"/>
                <w:bCs w:val="false"/>
                <w:color w:val="222222"/>
                <w:sz w:val="19"/>
                <w:szCs w:val="19"/>
              </w:rPr>
              <w:t xml:space="preserve">~25–50 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Ende 2027 (12 Mon. nach Launch)</w:t>
            </w:r>
          </w:p>
        </w:tc>
        <w:tc>
          <w:tcPr>
            <w:tcW w:type="dxa" w:w="33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50–100</w:t>
            </w:r>
          </w:p>
        </w:tc>
        <w:tc>
          <w:tcPr>
            <w:tcW w:type="dxa" w:w="30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222222"/>
                <w:sz w:val="19"/>
                <w:szCs w:val="19"/>
              </w:rPr>
              <w:t xml:space="preserve">~80–150 T€</w:t>
            </w:r>
          </w:p>
        </w:tc>
      </w:tr>
    </w:tbl>
    <w:p>
      <w:pPr>
        <w:spacing w:after="120"/>
      </w:pPr>
      <w:r>
        <w:t xml:space="preserve"/>
      </w:r>
    </w:p>
    <w:p>
      <w:pPr>
        <w:spacing w:after="140" w:line="276"/>
        <w:jc w:val="both"/>
      </w:pPr>
      <w:r>
        <w:rPr>
          <w:b w:val="false"/>
          <w:bCs w:val="false"/>
          <w:i w:val="false"/>
          <w:iCs w:val="false"/>
        </w:rPr>
        <w:t xml:space="preserve">Diese Marken liegen bewusst weit unter dem SOM-Potenzial der Marktanalyse (~8 Mio. € ARR in Jahr 5 bei 5 % SAM-Penetration) — der SOM ist die Obergrenze des Marktes, nicht das Jahr-1-Ziel einer Person ohne Werbebudget. Wichtiger als die absolute Zahl ist das Verhältnis: funktioniert Trial→Paid ohne Handauflegen und empfehlen Kunden weiter, ist der Markt da.</w:t>
      </w:r>
    </w:p>
    <w:p>
      <w:pPr>
        <w:pStyle w:val="Heading1"/>
      </w:pPr>
      <w:r>
        <w:t xml:space="preserve">11  Risiken &amp; Annahmen</w:t>
      </w:r>
    </w:p>
    <w:p>
      <w:pPr>
        <w:pStyle w:val="ListParagraph"/>
        <w:numPr>
          <w:ilvl w:val="0"/>
          <w:numId w:val="3"/>
        </w:numPr>
        <w:spacing w:after="70" w:line="270"/>
      </w:pPr>
      <w:r>
        <w:rPr>
          <w:b/>
          <w:bCs/>
          <w:i w:val="false"/>
          <w:iCs w:val="false"/>
        </w:rPr>
        <w:t xml:space="preserve">Baukrise dämpft Investitionsbereitschaft. </w:t>
      </w:r>
      <w:r>
        <w:rPr>
          <w:b w:val="false"/>
          <w:bCs w:val="false"/>
          <w:i w:val="false"/>
          <w:iCs w:val="false"/>
        </w:rPr>
        <w:t xml:space="preserve">Gegenmittel: antizyklischer Pitch — in der Flaute ist Wirtschaftlichkeitssteuerung das stärkere, nicht schwächere Argument.</w:t>
      </w:r>
    </w:p>
    <w:p>
      <w:pPr>
        <w:pStyle w:val="ListParagraph"/>
        <w:numPr>
          <w:ilvl w:val="0"/>
          <w:numId w:val="3"/>
        </w:numPr>
        <w:spacing w:after="70" w:line="270"/>
      </w:pPr>
      <w:r>
        <w:rPr>
          <w:b/>
          <w:bCs/>
          <w:i w:val="false"/>
          <w:iCs w:val="false"/>
        </w:rPr>
        <w:t xml:space="preserve">Onboarding-Reibung tötet Conversion. </w:t>
      </w:r>
      <w:r>
        <w:rPr>
          <w:b w:val="false"/>
          <w:bCs w:val="false"/>
          <w:i w:val="false"/>
          <w:iCs w:val="false"/>
        </w:rPr>
        <w:t xml:space="preserve">Größtes operatives Risiko; höchste Produktpriorität auf geführtem Import.</w:t>
      </w:r>
    </w:p>
    <w:p>
      <w:pPr>
        <w:pStyle w:val="ListParagraph"/>
        <w:numPr>
          <w:ilvl w:val="0"/>
          <w:numId w:val="3"/>
        </w:numPr>
        <w:spacing w:after="70" w:line="270"/>
      </w:pPr>
      <w:r>
        <w:rPr>
          <w:b/>
          <w:bCs/>
          <w:i w:val="false"/>
          <w:iCs w:val="false"/>
        </w:rPr>
        <w:t xml:space="preserve">Solo-Bandbreite. </w:t>
      </w:r>
      <w:r>
        <w:rPr>
          <w:b w:val="false"/>
          <w:bCs w:val="false"/>
          <w:i w:val="false"/>
          <w:iCs w:val="false"/>
        </w:rPr>
        <w:t xml:space="preserve">Zu viele Kanäle gleichzeitig = alle halb. Disziplin auf Tier 1.</w:t>
      </w:r>
    </w:p>
    <w:p>
      <w:pPr>
        <w:pStyle w:val="ListParagraph"/>
        <w:numPr>
          <w:ilvl w:val="0"/>
          <w:numId w:val="3"/>
        </w:numPr>
        <w:spacing w:after="70" w:line="270"/>
      </w:pPr>
      <w:r>
        <w:rPr>
          <w:b/>
          <w:bCs/>
          <w:i w:val="false"/>
          <w:iCs w:val="false"/>
        </w:rPr>
        <w:t xml:space="preserve">Konsolidierung oben </w:t>
      </w:r>
      <w:r>
        <w:rPr>
          <w:b w:val="false"/>
          <w:bCs w:val="false"/>
          <w:i w:val="false"/>
          <w:iCs w:val="false"/>
        </w:rPr>
        <w:t xml:space="preserve">(PE-Kapital bei Kobold) erhöht mittelfristig Wettbewerbsdruck — trifft aber primär das obere Segment.</w:t>
      </w:r>
    </w:p>
    <w:p>
      <w:pPr>
        <w:pStyle w:val="ListParagraph"/>
        <w:numPr>
          <w:ilvl w:val="0"/>
          <w:numId w:val="3"/>
        </w:numPr>
        <w:spacing w:after="70" w:line="270"/>
      </w:pPr>
      <w:r>
        <w:rPr>
          <w:b/>
          <w:bCs/>
          <w:i w:val="false"/>
          <w:iCs w:val="false"/>
        </w:rPr>
        <w:t xml:space="preserve">Pricing/Messaging unvalidiert. </w:t>
      </w:r>
      <w:r>
        <w:rPr>
          <w:b w:val="false"/>
          <w:bCs w:val="false"/>
          <w:i w:val="false"/>
          <w:iCs w:val="false"/>
        </w:rPr>
        <w:t xml:space="preserve">Bewusst als Hypothese gesetzt; die Pilotphase ist der Test. Nicht vor den ersten 10 Gesprächen festschreiben.</w:t>
      </w:r>
    </w:p>
    <w:p>
      <w:pPr>
        <w:pStyle w:val="ListParagraph"/>
        <w:numPr>
          <w:ilvl w:val="0"/>
          <w:numId w:val="3"/>
        </w:numPr>
        <w:spacing w:after="70" w:line="270"/>
      </w:pPr>
      <w:r>
        <w:rPr>
          <w:b/>
          <w:bCs/>
          <w:i w:val="false"/>
          <w:iCs w:val="false"/>
        </w:rPr>
        <w:t xml:space="preserve">E-Rechnungs-Timing. </w:t>
      </w:r>
      <w:r>
        <w:rPr>
          <w:b w:val="false"/>
          <w:bCs w:val="false"/>
          <w:i w:val="false"/>
          <w:iCs w:val="false"/>
        </w:rPr>
        <w:t xml:space="preserve">Ausstellungspflicht für Kleinunternehmen ab 2028 (&gt;800.000 € ab 2027); Druck baut sich über 2026/27 auf — früh besetzen, aber nicht erwarten, dass alle sofort handeln.</w:t>
      </w:r>
    </w:p>
    <w:p>
      <w:pPr>
        <w:pStyle w:val="Heading1"/>
      </w:pPr>
      <w:r>
        <w:t xml:space="preserve">12  Sofort-Maßnahmen — die nächsten zwei Wochen</w:t>
      </w:r>
    </w:p>
    <w:p>
      <w:pPr>
        <w:pStyle w:val="ListParagraph"/>
        <w:numPr>
          <w:ilvl w:val="0"/>
          <w:numId w:val="5"/>
        </w:numPr>
        <w:spacing w:after="70" w:line="270"/>
      </w:pPr>
      <w:r>
        <w:rPr>
          <w:b/>
          <w:bCs/>
          <w:i w:val="false"/>
          <w:iCs w:val="false"/>
        </w:rPr>
        <w:t xml:space="preserve">Positionierung &amp; Botschaft final festziehen </w:t>
      </w:r>
      <w:r>
        <w:rPr>
          <w:b w:val="false"/>
          <w:bCs w:val="false"/>
          <w:i w:val="false"/>
          <w:iCs w:val="false"/>
        </w:rPr>
        <w:t xml:space="preserve">(Abschnitt 3) — eine Seite, an der alles andere ausgerichtet wird.</w:t>
      </w:r>
    </w:p>
    <w:p>
      <w:pPr>
        <w:pStyle w:val="ListParagraph"/>
        <w:numPr>
          <w:ilvl w:val="0"/>
          <w:numId w:val="5"/>
        </w:numPr>
        <w:spacing w:after="70" w:line="270"/>
      </w:pPr>
      <w:r>
        <w:rPr>
          <w:b/>
          <w:bCs/>
          <w:i w:val="false"/>
          <w:iCs w:val="false"/>
        </w:rPr>
        <w:t xml:space="preserve">Preisentscheidung v1 bestätigen </w:t>
      </w:r>
      <w:r>
        <w:rPr>
          <w:b w:val="false"/>
          <w:bCs w:val="false"/>
          <w:i w:val="false"/>
          <w:iCs w:val="false"/>
        </w:rPr>
        <w:t xml:space="preserve">(Abschnitt 5) und ins Lizenzkonzept/Owner-Tool übernehmen — inkl. Regel „E-Rechnung/HOAI bleiben in Basic“.</w:t>
      </w:r>
    </w:p>
    <w:p>
      <w:pPr>
        <w:pStyle w:val="ListParagraph"/>
        <w:numPr>
          <w:ilvl w:val="0"/>
          <w:numId w:val="5"/>
        </w:numPr>
        <w:spacing w:after="70" w:line="270"/>
      </w:pPr>
      <w:r>
        <w:rPr>
          <w:b/>
          <w:bCs/>
          <w:i w:val="false"/>
          <w:iCs w:val="false"/>
        </w:rPr>
        <w:t xml:space="preserve">Landingpage-Struktur entwerfen </w:t>
      </w:r>
      <w:r>
        <w:rPr>
          <w:b w:val="false"/>
          <w:bCs w:val="false"/>
          <w:i w:val="false"/>
          <w:iCs w:val="false"/>
        </w:rPr>
        <w:t xml:space="preserve">(Abschnitt 7.2) — Botschaft, öffentliche Preise, Trial-CTA, Proof-Platzhalter.</w:t>
      </w:r>
    </w:p>
    <w:p>
      <w:pPr>
        <w:pStyle w:val="ListParagraph"/>
        <w:numPr>
          <w:ilvl w:val="0"/>
          <w:numId w:val="5"/>
        </w:numPr>
        <w:spacing w:after="70" w:line="270"/>
      </w:pPr>
      <w:r>
        <w:rPr>
          <w:b/>
          <w:bCs/>
          <w:i w:val="false"/>
          <w:iCs w:val="false"/>
        </w:rPr>
        <w:t xml:space="preserve">Design-Partner-Liste aufbauen </w:t>
      </w:r>
      <w:r>
        <w:rPr>
          <w:b w:val="false"/>
          <w:bCs w:val="false"/>
          <w:i w:val="false"/>
          <w:iCs w:val="false"/>
        </w:rPr>
        <w:t xml:space="preserve">— 20–30 konkrete kleine Büros, die zuerst angesprochen werden.</w:t>
      </w:r>
    </w:p>
    <w:p>
      <w:pPr>
        <w:pStyle w:val="ListParagraph"/>
        <w:numPr>
          <w:ilvl w:val="0"/>
          <w:numId w:val="5"/>
        </w:numPr>
        <w:spacing w:after="70" w:line="270"/>
      </w:pPr>
      <w:r>
        <w:rPr>
          <w:b/>
          <w:bCs/>
          <w:i w:val="false"/>
          <w:iCs w:val="false"/>
        </w:rPr>
        <w:t xml:space="preserve">Ersten SEO-Artikel + Lead-Magnet anlegen </w:t>
      </w:r>
      <w:r>
        <w:rPr>
          <w:b w:val="false"/>
          <w:bCs w:val="false"/>
          <w:i w:val="false"/>
          <w:iCs w:val="false"/>
        </w:rPr>
        <w:t xml:space="preserve">— Thema E-Rechnungspflicht für Planungsbüros (höchster, datierter Suchdruck).</w:t>
      </w:r>
    </w:p>
    <w:p>
      <w:pPr>
        <w:spacing w:after="60"/>
      </w:pPr>
      <w:r>
        <w:t xml:space="preserve"/>
      </w:r>
    </w:p>
    <w:p>
      <w:pPr>
        <w:pBdr>
          <w:left w:val="single" w:color="2E5496" w:sz="18" w:space="12"/>
        </w:pBdr>
        <w:shd w:fill="F1F5FB" w:val="clear"/>
        <w:spacing w:after="160" w:before="120" w:line="276"/>
        <w:jc w:val="both"/>
      </w:pPr>
      <w:r>
        <w:rPr>
          <w:b/>
          <w:bCs/>
          <w:i w:val="false"/>
          <w:iCs w:val="false"/>
          <w:color w:val="333333"/>
        </w:rPr>
        <w:t xml:space="preserve">Nächste Phase: </w:t>
      </w:r>
      <w:r>
        <w:rPr>
          <w:b w:val="false"/>
          <w:bCs w:val="false"/>
          <w:i w:val="false"/>
          <w:iCs w:val="false"/>
          <w:color w:val="333333"/>
        </w:rPr>
        <w:t xml:space="preserve">aus dieser Strategie heraus die Assets erstellen — Landingpage-Copy, Outreach-Vorlagen, Lead-Magnet, Webinar-Outline. Das ist Phase 2 der Gesamtarbeit.</w:t>
      </w:r>
    </w:p>
    <w:p>
      <w:r>
        <w:br w:type="page"/>
      </w:r>
    </w:p>
    <w:p>
      <w:pPr>
        <w:pStyle w:val="Heading1"/>
      </w:pPr>
      <w:r>
        <w:t xml:space="preserve">Quellen &amp; Grundlagen</w:t>
      </w:r>
    </w:p>
    <w:p>
      <w:pPr>
        <w:spacing w:after="140" w:line="276"/>
        <w:jc w:val="both"/>
      </w:pPr>
      <w:r>
        <w:rPr>
          <w:b/>
          <w:bCs/>
          <w:i w:val="false"/>
          <w:iCs w:val="false"/>
        </w:rPr>
        <w:t xml:space="preserve">Markt-/Wettbewerbsaussagen: </w:t>
      </w:r>
      <w:r>
        <w:rPr>
          <w:b w:val="false"/>
          <w:bCs w:val="false"/>
          <w:i w:val="false"/>
          <w:iCs w:val="false"/>
        </w:rPr>
        <w:t xml:space="preserve">Marktanalyse Planungsbüros DACH (Juni 2026) inkl. der dort zitierten Primärquellen — Destatis Strukturerhebung 2020 (WZ 71.1), ifo Schnelldienst 12/2022, VBI-Branchenreport 2023, DAB-Mitgliederbefragung 2024, plansync/phase0-Softwarevergleiche 2026, BMF zur E-Rechnungspflicht.</w:t>
      </w:r>
    </w:p>
    <w:p>
      <w:pPr>
        <w:spacing w:after="140" w:line="276"/>
        <w:jc w:val="both"/>
      </w:pPr>
      <w:r>
        <w:rPr>
          <w:b/>
          <w:bCs/>
          <w:i w:val="false"/>
          <w:iCs w:val="false"/>
        </w:rPr>
        <w:t xml:space="preserve">Ergänzende Kanalrecherche (Juni 2026): </w:t>
      </w:r>
      <w:r>
        <w:rPr>
          <w:b w:val="false"/>
          <w:bCs w:val="false"/>
          <w:i w:val="false"/>
          <w:iCs w:val="false"/>
        </w:rPr>
        <w:t xml:space="preserve">Architektenkammer-Fortbildung (AKBW/IFBau, BYAK, AKNW, AKHH), „Internet für Architekten“, Vergleichsportale plansync/phase0/softwareabc24/OMR Reviews, projo-Positionierung (Zielgruppe ab 10 MA, 14-Tage-Trial).</w:t>
      </w:r>
    </w:p>
    <w:p>
      <w:pPr>
        <w:spacing w:after="140" w:line="276"/>
        <w:jc w:val="both"/>
      </w:pPr>
      <w:r>
        <w:rPr>
          <w:b/>
          <w:bCs/>
          <w:i w:val="false"/>
          <w:iCs w:val="false"/>
        </w:rPr>
        <w:t xml:space="preserve">Produkt- &amp; Lizenzkontext: </w:t>
      </w:r>
      <w:r>
        <w:rPr>
          <w:b w:val="false"/>
          <w:bCs w:val="false"/>
          <w:i w:val="false"/>
          <w:iCs w:val="false"/>
        </w:rPr>
        <w:t xml:space="preserve">plan&amp;simple — CLAUDE.md und LICENSE_TIERS_CONCEPT.md (Plan-Architektur Free/Basic/Pro/Enterprise, Plan+Seat-basiert, beschlossen 2026-06-15).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Vertraulich · Juni 2026</w:t>
    </w:r>
    <w:r>
      <w:rPr>
        <w:color w:val="999999"/>
        <w:sz w:val="16"/>
        <w:szCs w:val="16"/>
      </w:rPr>
      <w:t xml:space="preserve">	Seite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999999"/>
        <w:sz w:val="16"/>
        <w:szCs w:val="16"/>
      </w:rPr>
      <w:t xml:space="preserve">plan&amp;simple — Go-to-Market-Strategie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6"/>
      </w:pBd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2026-06-25T19:35:25.983Z</dcterms:created>
  <dcterms:modified xsi:type="dcterms:W3CDTF">2026-06-25T19:35:25.984Z</dcterms:modified>
</cp:coreProperties>
</file>

<file path=docProps/custom.xml><?xml version="1.0" encoding="utf-8"?>
<Properties xmlns="http://schemas.openxmlformats.org/officeDocument/2006/custom-properties" xmlns:vt="http://schemas.openxmlformats.org/officeDocument/2006/docPropsVTypes"/>
</file>