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3EFD2" w14:textId="2438814F" w:rsidR="00665867" w:rsidRPr="00181D07" w:rsidRDefault="006B5036" w:rsidP="006B5036">
      <w:pPr>
        <w:jc w:val="center"/>
        <w:rPr>
          <w:rFonts w:ascii="Times New Roman" w:hAnsi="Times New Roman" w:cs="Times New Roman"/>
          <w:sz w:val="32"/>
          <w:szCs w:val="32"/>
        </w:rPr>
      </w:pPr>
      <w:r w:rsidRPr="00181D07">
        <w:rPr>
          <w:rFonts w:ascii="Times New Roman" w:hAnsi="Times New Roman" w:cs="Times New Roman"/>
          <w:sz w:val="32"/>
          <w:szCs w:val="32"/>
        </w:rPr>
        <w:t>Учреждение образования</w:t>
      </w:r>
    </w:p>
    <w:p w14:paraId="1A4D5781" w14:textId="578093B5" w:rsidR="006B5036" w:rsidRPr="00181D07" w:rsidRDefault="006B5036" w:rsidP="006B503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181D07">
        <w:rPr>
          <w:rFonts w:ascii="Times New Roman" w:hAnsi="Times New Roman" w:cs="Times New Roman"/>
          <w:sz w:val="40"/>
          <w:szCs w:val="40"/>
          <w:lang w:val="en-US"/>
        </w:rPr>
        <w:t>“</w:t>
      </w:r>
      <w:r w:rsidRPr="00181D07">
        <w:rPr>
          <w:rFonts w:ascii="Times New Roman" w:hAnsi="Times New Roman" w:cs="Times New Roman"/>
          <w:sz w:val="40"/>
          <w:szCs w:val="40"/>
        </w:rPr>
        <w:t>БЕЛОРУССКИЙ ГОСУДАРСТВЕННЫЙ ТЕХНОЛОГИЧЕСКИЙ УНИВЕРСИТЕТ</w:t>
      </w:r>
      <w:r w:rsidRPr="00181D07">
        <w:rPr>
          <w:rFonts w:ascii="Times New Roman" w:hAnsi="Times New Roman" w:cs="Times New Roman"/>
          <w:sz w:val="40"/>
          <w:szCs w:val="40"/>
          <w:lang w:val="en-US"/>
        </w:rPr>
        <w:t>”</w:t>
      </w:r>
    </w:p>
    <w:p w14:paraId="0291C74B" w14:textId="54C80162" w:rsidR="006B5036" w:rsidRDefault="006B5036" w:rsidP="00181D07">
      <w:pPr>
        <w:pStyle w:val="Style4"/>
        <w:widowControl/>
        <w:spacing w:line="240" w:lineRule="auto"/>
        <w:ind w:firstLine="0"/>
        <w:jc w:val="center"/>
        <w:rPr>
          <w:lang w:val="en-US"/>
        </w:rPr>
      </w:pPr>
      <w:r w:rsidRPr="00181D07">
        <w:t>Отчет по лабораторной работе №2 “</w:t>
      </w:r>
      <w:r w:rsidR="00181D07" w:rsidRPr="00181D07">
        <w:rPr>
          <w:rStyle w:val="FontStyle24"/>
          <w:b w:val="0"/>
          <w:bCs/>
          <w:sz w:val="24"/>
        </w:rPr>
        <w:t>ИЗУЧЕНИЕ СПОСОБОВ ФИЗИЧЕСКОГО И ЛОГИЧЕСКОГО ЦИФРОВОГО КОДИРОВАНИЯ</w:t>
      </w:r>
      <w:r w:rsidRPr="00181D07">
        <w:t>”</w:t>
      </w:r>
    </w:p>
    <w:p w14:paraId="1A3D5C43" w14:textId="0DBBEA0E" w:rsidR="00181D07" w:rsidRPr="00181D07" w:rsidRDefault="00181D07" w:rsidP="00181D07">
      <w:pPr>
        <w:pStyle w:val="23"/>
        <w:spacing w:before="240" w:after="120"/>
        <w:ind w:firstLine="510"/>
        <w:rPr>
          <w:rStyle w:val="FontStyle55"/>
          <w:i w:val="0"/>
          <w:spacing w:val="-4"/>
          <w:sz w:val="24"/>
          <w:szCs w:val="24"/>
        </w:rPr>
      </w:pPr>
      <w:r w:rsidRPr="00181D07">
        <w:rPr>
          <w:b/>
          <w:bCs/>
          <w:sz w:val="24"/>
          <w:szCs w:val="24"/>
        </w:rPr>
        <w:t xml:space="preserve">Цель работы: </w:t>
      </w:r>
      <w:r w:rsidRPr="00181D07">
        <w:rPr>
          <w:spacing w:val="-4"/>
          <w:sz w:val="24"/>
          <w:szCs w:val="24"/>
        </w:rPr>
        <w:t>ознакомиться со способами физического и логич</w:t>
      </w:r>
      <w:r w:rsidRPr="00181D07">
        <w:rPr>
          <w:spacing w:val="-4"/>
          <w:sz w:val="24"/>
          <w:szCs w:val="24"/>
        </w:rPr>
        <w:t>е</w:t>
      </w:r>
      <w:r w:rsidRPr="00181D07">
        <w:rPr>
          <w:spacing w:val="-4"/>
          <w:sz w:val="24"/>
          <w:szCs w:val="24"/>
        </w:rPr>
        <w:t>ского цифрового кодирования на физическом уровне при передаче данных в с</w:t>
      </w:r>
      <w:r w:rsidRPr="00181D07">
        <w:rPr>
          <w:spacing w:val="-4"/>
          <w:sz w:val="24"/>
          <w:szCs w:val="24"/>
        </w:rPr>
        <w:t>е</w:t>
      </w:r>
      <w:r w:rsidRPr="00181D07">
        <w:rPr>
          <w:spacing w:val="-4"/>
          <w:sz w:val="24"/>
          <w:szCs w:val="24"/>
        </w:rPr>
        <w:t>тях.</w:t>
      </w:r>
    </w:p>
    <w:p w14:paraId="5C19D4CA" w14:textId="77777777" w:rsidR="005E68A5" w:rsidRDefault="005E68A5" w:rsidP="00181D07">
      <w:pPr>
        <w:pStyle w:val="Style4"/>
        <w:widowControl/>
        <w:spacing w:line="240" w:lineRule="auto"/>
        <w:ind w:firstLine="0"/>
        <w:rPr>
          <w:b/>
          <w:bCs/>
        </w:rPr>
      </w:pPr>
      <w:r>
        <w:rPr>
          <w:b/>
          <w:bCs/>
        </w:rPr>
        <w:t>Краткие теоретические сведения</w:t>
      </w:r>
      <w:r>
        <w:rPr>
          <w:b/>
          <w:bCs/>
          <w:lang w:val="en-US"/>
        </w:rPr>
        <w:t>:</w:t>
      </w:r>
    </w:p>
    <w:p w14:paraId="369D5907" w14:textId="77777777" w:rsidR="005E68A5" w:rsidRPr="005E68A5" w:rsidRDefault="005E68A5" w:rsidP="005E68A5">
      <w:pPr>
        <w:pStyle w:val="Style4"/>
      </w:pPr>
      <w:r w:rsidRPr="005E68A5">
        <w:t>При цифровом кодировании дискретной информации применяются потенциальные и импульсные коды. Потенциальные коды используют уровни сигнала для представления логических 0 и 1, тогда как импульсные коды кодируют данные импульсами или перепадами потенциала. Цель кодирования — минимизировать ширину спектра сигнала, обеспечить синхронизацию между передатчиком и приёмником, распознавать ошибки и снизить стоимость реализации.</w:t>
      </w:r>
    </w:p>
    <w:p w14:paraId="4D6D3084" w14:textId="77777777" w:rsidR="005E68A5" w:rsidRPr="005E68A5" w:rsidRDefault="005E68A5" w:rsidP="005E68A5">
      <w:pPr>
        <w:pStyle w:val="Style4"/>
        <w:rPr>
          <w:b/>
          <w:bCs/>
        </w:rPr>
      </w:pPr>
      <w:r w:rsidRPr="005E68A5">
        <w:rPr>
          <w:b/>
          <w:bCs/>
        </w:rPr>
        <w:t>Потенциальные коды:</w:t>
      </w:r>
    </w:p>
    <w:p w14:paraId="70EB2306" w14:textId="77777777" w:rsidR="005E68A5" w:rsidRPr="005E68A5" w:rsidRDefault="005E68A5" w:rsidP="005E68A5">
      <w:pPr>
        <w:pStyle w:val="Style4"/>
        <w:numPr>
          <w:ilvl w:val="0"/>
          <w:numId w:val="1"/>
        </w:numPr>
      </w:pPr>
      <w:r w:rsidRPr="005E68A5">
        <w:t xml:space="preserve">NRZ (Non Return </w:t>
      </w:r>
      <w:proofErr w:type="spellStart"/>
      <w:r w:rsidRPr="005E68A5">
        <w:t>to</w:t>
      </w:r>
      <w:proofErr w:type="spellEnd"/>
      <w:r w:rsidRPr="005E68A5">
        <w:t xml:space="preserve"> Zero): Сигнал не возвращается к нулю при передаче единиц, перепады обозначают смену битов. Прост в реализации, хорошо распознаёт ошибки, но не </w:t>
      </w:r>
      <w:proofErr w:type="spellStart"/>
      <w:r w:rsidRPr="005E68A5">
        <w:t>самосинхронизируется</w:t>
      </w:r>
      <w:proofErr w:type="spellEnd"/>
      <w:r w:rsidRPr="005E68A5">
        <w:t xml:space="preserve"> из-за отсутствия тактовой частоты при длинных сериях 0 или 1.</w:t>
      </w:r>
    </w:p>
    <w:p w14:paraId="07AB8CAD" w14:textId="77777777" w:rsidR="005E68A5" w:rsidRPr="005E68A5" w:rsidRDefault="005E68A5" w:rsidP="005E68A5">
      <w:pPr>
        <w:pStyle w:val="Style4"/>
        <w:numPr>
          <w:ilvl w:val="0"/>
          <w:numId w:val="1"/>
        </w:numPr>
      </w:pPr>
      <w:r w:rsidRPr="005E68A5">
        <w:t>AMI (</w:t>
      </w:r>
      <w:proofErr w:type="spellStart"/>
      <w:r w:rsidRPr="005E68A5">
        <w:t>Bipolar</w:t>
      </w:r>
      <w:proofErr w:type="spellEnd"/>
      <w:r w:rsidRPr="005E68A5">
        <w:t xml:space="preserve"> </w:t>
      </w:r>
      <w:proofErr w:type="spellStart"/>
      <w:r w:rsidRPr="005E68A5">
        <w:t>Alternate</w:t>
      </w:r>
      <w:proofErr w:type="spellEnd"/>
      <w:r w:rsidRPr="005E68A5">
        <w:t xml:space="preserve"> Mark </w:t>
      </w:r>
      <w:proofErr w:type="spellStart"/>
      <w:r w:rsidRPr="005E68A5">
        <w:t>Inversion</w:t>
      </w:r>
      <w:proofErr w:type="spellEnd"/>
      <w:r w:rsidRPr="005E68A5">
        <w:t>): Три уровня потенциала (0, +1, -1), единицы чередуются по полярности. Решает проблему синхронизации при передаче единиц, но теряет её при длинных последовательностях нулей.</w:t>
      </w:r>
    </w:p>
    <w:p w14:paraId="5B40871D" w14:textId="77777777" w:rsidR="005E68A5" w:rsidRPr="005E68A5" w:rsidRDefault="005E68A5" w:rsidP="005E68A5">
      <w:pPr>
        <w:pStyle w:val="Style4"/>
        <w:numPr>
          <w:ilvl w:val="0"/>
          <w:numId w:val="1"/>
        </w:numPr>
      </w:pPr>
      <w:r w:rsidRPr="005E68A5">
        <w:t xml:space="preserve">NRZI (Non Return </w:t>
      </w:r>
      <w:proofErr w:type="spellStart"/>
      <w:r w:rsidRPr="005E68A5">
        <w:t>to</w:t>
      </w:r>
      <w:proofErr w:type="spellEnd"/>
      <w:r w:rsidRPr="005E68A5">
        <w:t xml:space="preserve"> Zero </w:t>
      </w:r>
      <w:proofErr w:type="spellStart"/>
      <w:r w:rsidRPr="005E68A5">
        <w:t>Inverted</w:t>
      </w:r>
      <w:proofErr w:type="spellEnd"/>
      <w:r w:rsidRPr="005E68A5">
        <w:t>): Два уровня, смена потенциала на 1, сохранение на 0. Удобен для систем с двумя состояниями (например, оптоволокно), но синхронизация зависит от частоты единиц.</w:t>
      </w:r>
    </w:p>
    <w:p w14:paraId="558C3B33" w14:textId="77777777" w:rsidR="005E68A5" w:rsidRPr="005E68A5" w:rsidRDefault="005E68A5" w:rsidP="005E68A5">
      <w:pPr>
        <w:pStyle w:val="Style4"/>
        <w:numPr>
          <w:ilvl w:val="0"/>
          <w:numId w:val="1"/>
        </w:numPr>
      </w:pPr>
      <w:r w:rsidRPr="005E68A5">
        <w:t>2B1Q: Четыре уровня сигнала, кодирует 2 бита за такт (00: -2.5В, 01: -0.833В, 11: +0.833В, 10: +2.5В). Удваивает скорость передачи, но требует сложного оборудования.</w:t>
      </w:r>
    </w:p>
    <w:p w14:paraId="7FC8014B" w14:textId="77777777" w:rsidR="005E68A5" w:rsidRPr="005E68A5" w:rsidRDefault="005E68A5" w:rsidP="005E68A5">
      <w:pPr>
        <w:pStyle w:val="Style4"/>
        <w:rPr>
          <w:b/>
          <w:bCs/>
        </w:rPr>
      </w:pPr>
      <w:r w:rsidRPr="005E68A5">
        <w:rPr>
          <w:b/>
          <w:bCs/>
        </w:rPr>
        <w:t>Импульсные коды:</w:t>
      </w:r>
    </w:p>
    <w:p w14:paraId="36E69E6C" w14:textId="77777777" w:rsidR="005E68A5" w:rsidRPr="005E68A5" w:rsidRDefault="005E68A5" w:rsidP="005E68A5">
      <w:pPr>
        <w:pStyle w:val="Style4"/>
        <w:numPr>
          <w:ilvl w:val="0"/>
          <w:numId w:val="2"/>
        </w:numPr>
      </w:pPr>
      <w:r w:rsidRPr="005E68A5">
        <w:t>Биполярный импульсный код: Единицы и нули — импульсы разной полярности, длительность — полтакта. Хорошая самосинхронизация, но есть постоянная составляющая при длинных сериях.</w:t>
      </w:r>
    </w:p>
    <w:p w14:paraId="48585898" w14:textId="77777777" w:rsidR="005E68A5" w:rsidRPr="005E68A5" w:rsidRDefault="005E68A5" w:rsidP="005E68A5">
      <w:pPr>
        <w:pStyle w:val="Style4"/>
        <w:numPr>
          <w:ilvl w:val="0"/>
          <w:numId w:val="2"/>
        </w:numPr>
      </w:pPr>
      <w:r w:rsidRPr="005E68A5">
        <w:t xml:space="preserve">Манчестерский код: Перепады в середине такта (0: </w:t>
      </w:r>
      <w:proofErr w:type="spellStart"/>
      <w:r w:rsidRPr="005E68A5">
        <w:t>высокий→низкий</w:t>
      </w:r>
      <w:proofErr w:type="spellEnd"/>
      <w:r w:rsidRPr="005E68A5">
        <w:t xml:space="preserve">, 1: </w:t>
      </w:r>
      <w:proofErr w:type="spellStart"/>
      <w:r w:rsidRPr="005E68A5">
        <w:t>низкий→высокий</w:t>
      </w:r>
      <w:proofErr w:type="spellEnd"/>
      <w:r w:rsidRPr="005E68A5">
        <w:t>). Отличная самосинхронизация, используется в Ethernet, но спектр шире.</w:t>
      </w:r>
    </w:p>
    <w:p w14:paraId="252945EE" w14:textId="77777777" w:rsidR="005E68A5" w:rsidRPr="005E68A5" w:rsidRDefault="005E68A5" w:rsidP="005E68A5">
      <w:pPr>
        <w:pStyle w:val="Style4"/>
        <w:spacing w:line="240" w:lineRule="auto"/>
      </w:pPr>
      <w:r w:rsidRPr="005E68A5">
        <w:t xml:space="preserve"> </w:t>
      </w:r>
      <w:r w:rsidRPr="005E68A5">
        <w:rPr>
          <w:b/>
          <w:bCs/>
        </w:rPr>
        <w:t>Итог</w:t>
      </w:r>
      <w:r w:rsidRPr="005E68A5">
        <w:t>: Каждый метод кодирования имеет свои преимущества: NRZ прост, AMI улучшает синхронизацию, NRZI удобен для оптики, 2B1Q ускоряет передачу, а манчестерский код идеален для сетей благодаря самосинхронизации. Выбор зависит от задачи и оборудования.</w:t>
      </w:r>
    </w:p>
    <w:p w14:paraId="5DFFA8BC" w14:textId="2DB4E325" w:rsidR="00181D07" w:rsidRPr="005E68A5" w:rsidRDefault="005E68A5" w:rsidP="00181D07">
      <w:pPr>
        <w:pStyle w:val="Style4"/>
        <w:widowControl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78539061" wp14:editId="499449D7">
            <wp:extent cx="2902688" cy="3870146"/>
            <wp:effectExtent l="0" t="0" r="0" b="0"/>
            <wp:docPr id="24480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07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38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8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E94B58" wp14:editId="02804E4E">
            <wp:extent cx="2926080" cy="3901336"/>
            <wp:effectExtent l="0" t="0" r="7620" b="4445"/>
            <wp:docPr id="835129782" name="Рисунок 1" descr="Изображение выглядит как текст, рукописный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9782" name="Рисунок 1" descr="Изображение выглядит как текст, рукописный текс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349" cy="39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D07" w:rsidRPr="005E68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D90501"/>
    <w:multiLevelType w:val="multilevel"/>
    <w:tmpl w:val="6324B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CD6C50"/>
    <w:multiLevelType w:val="multilevel"/>
    <w:tmpl w:val="28EC6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6340342">
    <w:abstractNumId w:val="0"/>
  </w:num>
  <w:num w:numId="2" w16cid:durableId="12584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AF2"/>
    <w:rsid w:val="00181D07"/>
    <w:rsid w:val="005E68A5"/>
    <w:rsid w:val="00665867"/>
    <w:rsid w:val="006B5036"/>
    <w:rsid w:val="00A94C83"/>
    <w:rsid w:val="00B32AF2"/>
    <w:rsid w:val="00C439AB"/>
    <w:rsid w:val="00C67766"/>
    <w:rsid w:val="00E1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2B0BC"/>
  <w15:chartTrackingRefBased/>
  <w15:docId w15:val="{2F0C84A6-B839-44E9-A674-02DC50895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2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2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2A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2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2A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2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2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2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2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2A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32A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32A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32AF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2AF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32AF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32AF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32AF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32AF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32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32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32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32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32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32AF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32AF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32AF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32A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32AF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32AF2"/>
    <w:rPr>
      <w:b/>
      <w:bCs/>
      <w:smallCaps/>
      <w:color w:val="0F4761" w:themeColor="accent1" w:themeShade="BF"/>
      <w:spacing w:val="5"/>
    </w:rPr>
  </w:style>
  <w:style w:type="paragraph" w:customStyle="1" w:styleId="Style4">
    <w:name w:val="Style4"/>
    <w:basedOn w:val="a"/>
    <w:rsid w:val="00181D07"/>
    <w:pPr>
      <w:widowControl w:val="0"/>
      <w:autoSpaceDE w:val="0"/>
      <w:autoSpaceDN w:val="0"/>
      <w:adjustRightInd w:val="0"/>
      <w:spacing w:after="0" w:line="236" w:lineRule="exact"/>
      <w:ind w:firstLine="48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FontStyle24">
    <w:name w:val="Font Style24"/>
    <w:rsid w:val="00181D07"/>
    <w:rPr>
      <w:rFonts w:ascii="Times New Roman" w:hAnsi="Times New Roman"/>
      <w:b/>
      <w:sz w:val="26"/>
    </w:rPr>
  </w:style>
  <w:style w:type="paragraph" w:styleId="23">
    <w:name w:val="Body Text 2"/>
    <w:basedOn w:val="a"/>
    <w:link w:val="24"/>
    <w:semiHidden/>
    <w:rsid w:val="00181D07"/>
    <w:pPr>
      <w:autoSpaceDE w:val="0"/>
      <w:autoSpaceDN w:val="0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24">
    <w:name w:val="Основной текст 2 Знак"/>
    <w:basedOn w:val="a0"/>
    <w:link w:val="23"/>
    <w:semiHidden/>
    <w:rsid w:val="00181D07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FontStyle55">
    <w:name w:val="Font Style55"/>
    <w:rsid w:val="00181D07"/>
    <w:rPr>
      <w:rFonts w:ascii="Times New Roman" w:hAnsi="Times New Roman" w:cs="Times New Roman"/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5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atipovalexey10494@outlook.com</dc:creator>
  <cp:keywords/>
  <dc:description/>
  <cp:lastModifiedBy>atipovalexey10494@outlook.com</cp:lastModifiedBy>
  <cp:revision>2</cp:revision>
  <dcterms:created xsi:type="dcterms:W3CDTF">2025-04-03T16:31:00Z</dcterms:created>
  <dcterms:modified xsi:type="dcterms:W3CDTF">2025-04-03T17:34:00Z</dcterms:modified>
</cp:coreProperties>
</file>