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80" w:line="360" w:lineRule="auto"/>
        <w:jc w:val="center"/>
      </w:pPr>
      <w:r>
        <w:rPr>
          <w:b/>
          <w:sz w:val="28"/>
          <w:szCs w:val="28"/>
        </w:rPr>
        <w:t xml:space="preserve">VERGİ İNCELEME TUTANAĞI</w:t>
      </w:r>
    </w:p>
    <w:p>
      <w:pPr>
        <w:spacing w:before="0" w:after="120" w:line="360" w:lineRule="auto"/>
        <w:ind w:firstLine="567"/>
        <w:jc w:val="both"/>
      </w:pPr>
      <w:r>
        <w:t xml:space="preserve">Ceyhan Vergi Dairesi Müdürlüğünün 1750000000 vergi kimlik numaralı mükellefi EMİR PETROL DAĞITIM LİMİTED ŞİRKETİ, “Akdeniz Mah. No:84/201 Mersin” adresinde “personel taşımacılığı” faaliyeti ile iştigal etmektedir. Mükellef Kurum e-Defter ve e-Fatura uygulamaları kapsamındadır. Mükellef Kurum Vergi Usul Kanununun 107/A maddesi kapsamında e-tebligata tabidir.</w:t>
      </w:r>
    </w:p>
    <w:p>
      <w:pPr>
        <w:spacing w:before="0" w:after="120" w:line="360" w:lineRule="auto"/>
        <w:ind w:firstLine="567"/>
        <w:jc w:val="both"/>
      </w:pPr>
      <w:r>
        <w:t xml:space="preserve">T.C. Hazine ve Maliye Bakanlığı Vergi Denetim Kurulu Adana Denetim Daire Başkanlığının </w:t>
      </w:r>
      <w:r>
        <w:rPr>
          <w:color w:val="C00000"/>
        </w:rPr>
        <w:t xml:space="preserve">[tarih]</w:t>
      </w:r>
      <w:r>
        <w:t xml:space="preserve"> tarih ve E-22046 sayılı görevlendirme yazısı ile 2023 hesap dönemi işlemlerinin “Sahte Belge Kullanma” gerekçesiyle sınırlı olarak incelenmesi istenmiştir. Mükellef Kurumun 2023 hesap döneminde Dörtkat Vergi Dairesi Müdürlüğünün 2950362893 vergi kimlik numaralı mükellefi CAYAZ SALATALIK TARIM TİC. LTD. ŞTİ.’den ve Dörtyol Vergi Dairesi Müdürlüğünün 2171802681 vergi kimlik numaralı mükellefi MAYAZ DOMATEZ TARIM TİC. LTD. ŞTİ.’den olan alışlarının sahte belge kullanma kapsamında sınırlı olarak incelenmesi neticesinde aşağıdaki hususlar mükellef ile birlikte tespit edilmiştir. (Ek-1: Kimlik kartı fotokopisi)</w:t>
      </w:r>
    </w:p>
    <w:p>
      <w:pPr>
        <w:spacing w:before="140" w:after="80" w:line="360" w:lineRule="auto"/>
        <w:jc w:val="both"/>
      </w:pPr>
      <w:r>
        <w:rPr>
          <w:b/>
        </w:rPr>
        <w:t xml:space="preserve">1- Bu tutanakta yer alan hususların vergi kanunları karşısında yapılması muhtemel işlemler bakımından ispatlama vasıtası olduğu ve yapılması muhtemel işlemlerin neler olduğu, tutanağın düzenlenmesinden önce mükellefe açıklanmıştır.</w:t>
      </w:r>
    </w:p>
    <w:p>
      <w:pPr>
        <w:spacing w:before="140" w:after="80" w:line="360" w:lineRule="auto"/>
        <w:jc w:val="both"/>
      </w:pPr>
      <w:r>
        <w:rPr>
          <w:b/>
        </w:rPr>
        <w:t xml:space="preserve">2- İnceleme, Müfettişliğimizin “Közler Cad. No:50 B Blok Kat:5 Akdeniz/Mersin” çalışma adresinde yapılmıştır.</w:t>
      </w:r>
    </w:p>
    <w:p>
      <w:pPr>
        <w:spacing w:before="140" w:after="80" w:line="360" w:lineRule="auto"/>
        <w:jc w:val="both"/>
      </w:pPr>
      <w:r>
        <w:rPr>
          <w:b/>
        </w:rPr>
        <w:t xml:space="preserve">3- Mükellef tarafından incelemeye ibraz edilen yasal defterlere ilişkin bilgiler aşağıdaki tabloda gösterildiği gibidir.</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56"/>
        <w:gridCol w:w="2698"/>
        <w:gridCol w:w="2698"/>
        <w:gridCol w:w="3086"/>
      </w:tblGrid>
      <w:tr>
        <w:trPr>
          <w:tblHeader/>
        </w:trPr>
        <w:tc>
          <w:tcPr>
            <w:tcW w:w="1156" w:type="dxa"/>
            <w:shd w:val="clear" w:color="auto" w:fill="D9D9D9"/>
            <w:vAlign w:val="center"/>
          </w:tcPr>
          <w:p>
            <w:pPr>
              <w:spacing w:before="40" w:after="40" w:line="240" w:lineRule="auto"/>
              <w:jc w:val="center"/>
            </w:pPr>
            <w:r>
              <w:rPr>
                <w:b/>
                <w:sz w:val="18"/>
                <w:szCs w:val="18"/>
              </w:rPr>
              <w:t xml:space="preserve">Yılı</w:t>
            </w:r>
          </w:p>
        </w:tc>
        <w:tc>
          <w:tcPr>
            <w:tcW w:w="2698" w:type="dxa"/>
            <w:shd w:val="clear" w:color="auto" w:fill="D9D9D9"/>
            <w:vAlign w:val="center"/>
          </w:tcPr>
          <w:p>
            <w:pPr>
              <w:spacing w:before="40" w:after="40" w:line="240" w:lineRule="auto"/>
              <w:jc w:val="left"/>
            </w:pPr>
            <w:r>
              <w:rPr>
                <w:b/>
                <w:sz w:val="18"/>
                <w:szCs w:val="18"/>
              </w:rPr>
              <w:t xml:space="preserve">Defterin Türü</w:t>
            </w:r>
          </w:p>
        </w:tc>
        <w:tc>
          <w:tcPr>
            <w:tcW w:w="2698" w:type="dxa"/>
            <w:shd w:val="clear" w:color="auto" w:fill="D9D9D9"/>
            <w:vAlign w:val="center"/>
          </w:tcPr>
          <w:p>
            <w:pPr>
              <w:spacing w:before="40" w:after="40" w:line="240" w:lineRule="auto"/>
              <w:jc w:val="center"/>
            </w:pPr>
            <w:r>
              <w:rPr>
                <w:b/>
                <w:sz w:val="18"/>
                <w:szCs w:val="18"/>
              </w:rPr>
              <w:t xml:space="preserve">Tasdik Tarihi ve Numarası</w:t>
            </w:r>
          </w:p>
        </w:tc>
        <w:tc>
          <w:tcPr>
            <w:tcW w:w="3086" w:type="dxa"/>
            <w:shd w:val="clear" w:color="auto" w:fill="D9D9D9"/>
            <w:vAlign w:val="center"/>
          </w:tcPr>
          <w:p>
            <w:pPr>
              <w:spacing w:before="40" w:after="40" w:line="240" w:lineRule="auto"/>
              <w:jc w:val="left"/>
            </w:pPr>
            <w:r>
              <w:rPr>
                <w:b/>
                <w:sz w:val="18"/>
                <w:szCs w:val="18"/>
              </w:rPr>
              <w:t xml:space="preserve">Tasdik Makamı</w:t>
            </w:r>
          </w:p>
        </w:tc>
      </w:tr>
      <w:tr>
        <w:tc>
          <w:tcPr>
            <w:tcW w:w="1156" w:type="dxa"/>
            <w:vAlign w:val="center"/>
          </w:tcPr>
          <w:p>
            <w:pPr>
              <w:spacing w:before="40" w:after="40" w:line="240" w:lineRule="auto"/>
              <w:jc w:val="center"/>
            </w:pPr>
            <w:r>
              <w:rPr>
                <w:sz w:val="18"/>
                <w:szCs w:val="18"/>
              </w:rPr>
              <w:t xml:space="preserve">2023</w:t>
            </w:r>
          </w:p>
        </w:tc>
        <w:tc>
          <w:tcPr>
            <w:tcW w:w="2698" w:type="dxa"/>
            <w:vAlign w:val="center"/>
          </w:tcPr>
          <w:p>
            <w:pPr>
              <w:spacing w:before="40" w:after="40" w:line="240" w:lineRule="auto"/>
              <w:jc w:val="left"/>
            </w:pPr>
            <w:r>
              <w:rPr>
                <w:sz w:val="18"/>
                <w:szCs w:val="18"/>
              </w:rPr>
              <w:t xml:space="preserve">Yevmiye Defteri</w:t>
            </w:r>
          </w:p>
        </w:tc>
        <w:tc>
          <w:tcPr>
            <w:tcW w:w="2698" w:type="dxa"/>
            <w:vAlign w:val="center"/>
          </w:tcPr>
          <w:p>
            <w:pPr>
              <w:spacing w:before="40" w:after="40" w:line="240" w:lineRule="auto"/>
              <w:jc w:val="center"/>
            </w:pPr>
            <w:r>
              <w:rPr>
                <w:sz w:val="18"/>
                <w:szCs w:val="18"/>
              </w:rPr>
              <w:t xml:space="preserve">25.12.2022 - 55555</w:t>
            </w:r>
          </w:p>
        </w:tc>
        <w:tc>
          <w:tcPr>
            <w:tcW w:w="3086" w:type="dxa"/>
            <w:vAlign w:val="center"/>
          </w:tcPr>
          <w:p>
            <w:pPr>
              <w:spacing w:before="40" w:after="40" w:line="240" w:lineRule="auto"/>
              <w:jc w:val="left"/>
            </w:pPr>
            <w:r>
              <w:rPr>
                <w:sz w:val="18"/>
                <w:szCs w:val="18"/>
              </w:rPr>
              <w:t xml:space="preserve">Mersin 17. Noterliği</w:t>
            </w:r>
          </w:p>
        </w:tc>
      </w:tr>
    </w:tbl>
    <w:p>
      <w:pPr>
        <w:spacing w:after="120"/>
      </w:pPr>
    </w:p>
    <w:p>
      <w:pPr>
        <w:spacing w:before="140" w:after="80" w:line="360" w:lineRule="auto"/>
        <w:jc w:val="both"/>
      </w:pPr>
      <w:r>
        <w:rPr>
          <w:b/>
        </w:rPr>
        <w:t xml:space="preserve">4- Mükellef Kurumun 2023 hesap dönemine ait Katma Değer Vergisi Beyannameleri özet bilgilerine aşağıda yer verilmiştir. (GİB YBS kayıtları)</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64"/>
        <w:gridCol w:w="1224"/>
        <w:gridCol w:w="1224"/>
        <w:gridCol w:w="1224"/>
        <w:gridCol w:w="1224"/>
        <w:gridCol w:w="1224"/>
        <w:gridCol w:w="1224"/>
        <w:gridCol w:w="1230"/>
      </w:tblGrid>
      <w:tr>
        <w:trPr>
          <w:tblHeader/>
        </w:trPr>
        <w:tc>
          <w:tcPr>
            <w:tcW w:w="1064" w:type="dxa"/>
            <w:shd w:val="clear" w:color="auto" w:fill="D9D9D9"/>
            <w:vAlign w:val="center"/>
          </w:tcPr>
          <w:p>
            <w:pPr>
              <w:spacing w:before="40" w:after="40" w:line="240" w:lineRule="auto"/>
              <w:jc w:val="left"/>
            </w:pPr>
            <w:r>
              <w:rPr>
                <w:b/>
                <w:sz w:val="18"/>
                <w:szCs w:val="18"/>
              </w:rPr>
              <w:t xml:space="preserve">Dönemi</w:t>
            </w:r>
            <w:r>
              <w:rPr>
                <w:b/>
                <w:sz w:val="18"/>
                <w:szCs w:val="18"/>
              </w:rPr>
              <w:br/>
            </w:r>
            <w:r>
              <w:rPr>
                <w:b/>
                <w:sz w:val="18"/>
                <w:szCs w:val="18"/>
              </w:rPr>
              <w:t xml:space="preserve">2023</w:t>
            </w:r>
          </w:p>
        </w:tc>
        <w:tc>
          <w:tcPr>
            <w:tcW w:w="1224" w:type="dxa"/>
            <w:shd w:val="clear" w:color="auto" w:fill="D9D9D9"/>
            <w:vAlign w:val="center"/>
          </w:tcPr>
          <w:p>
            <w:pPr>
              <w:spacing w:before="40" w:after="40" w:line="240" w:lineRule="auto"/>
              <w:jc w:val="right"/>
            </w:pPr>
            <w:r>
              <w:rPr>
                <w:b/>
                <w:sz w:val="18"/>
                <w:szCs w:val="18"/>
              </w:rPr>
              <w:t xml:space="preserve">KDV Matrahı</w:t>
            </w:r>
          </w:p>
        </w:tc>
        <w:tc>
          <w:tcPr>
            <w:tcW w:w="1224" w:type="dxa"/>
            <w:shd w:val="clear" w:color="auto" w:fill="D9D9D9"/>
            <w:vAlign w:val="center"/>
          </w:tcPr>
          <w:p>
            <w:pPr>
              <w:spacing w:before="40" w:after="40" w:line="240" w:lineRule="auto"/>
              <w:jc w:val="right"/>
            </w:pPr>
            <w:r>
              <w:rPr>
                <w:b/>
                <w:sz w:val="18"/>
                <w:szCs w:val="18"/>
              </w:rPr>
              <w:t xml:space="preserve">Hspl. KDV</w:t>
            </w:r>
          </w:p>
        </w:tc>
        <w:tc>
          <w:tcPr>
            <w:tcW w:w="1224" w:type="dxa"/>
            <w:shd w:val="clear" w:color="auto" w:fill="D9D9D9"/>
            <w:vAlign w:val="center"/>
          </w:tcPr>
          <w:p>
            <w:pPr>
              <w:spacing w:before="40" w:after="40" w:line="240" w:lineRule="auto"/>
              <w:jc w:val="right"/>
            </w:pPr>
            <w:r>
              <w:rPr>
                <w:b/>
                <w:sz w:val="18"/>
                <w:szCs w:val="18"/>
              </w:rPr>
              <w:t xml:space="preserve">Önc. Dön. Dev. KDV</w:t>
            </w:r>
          </w:p>
        </w:tc>
        <w:tc>
          <w:tcPr>
            <w:tcW w:w="1224" w:type="dxa"/>
            <w:shd w:val="clear" w:color="auto" w:fill="D9D9D9"/>
            <w:vAlign w:val="center"/>
          </w:tcPr>
          <w:p>
            <w:pPr>
              <w:spacing w:before="40" w:after="40" w:line="240" w:lineRule="auto"/>
              <w:jc w:val="right"/>
            </w:pPr>
            <w:r>
              <w:rPr>
                <w:b/>
                <w:sz w:val="18"/>
                <w:szCs w:val="18"/>
              </w:rPr>
              <w:t xml:space="preserve">Bu Dön. İndl. KDV</w:t>
            </w:r>
          </w:p>
        </w:tc>
        <w:tc>
          <w:tcPr>
            <w:tcW w:w="1224" w:type="dxa"/>
            <w:shd w:val="clear" w:color="auto" w:fill="D9D9D9"/>
            <w:vAlign w:val="center"/>
          </w:tcPr>
          <w:p>
            <w:pPr>
              <w:spacing w:before="40" w:after="40" w:line="240" w:lineRule="auto"/>
              <w:jc w:val="right"/>
            </w:pPr>
            <w:r>
              <w:rPr>
                <w:b/>
                <w:sz w:val="18"/>
                <w:szCs w:val="18"/>
              </w:rPr>
              <w:t xml:space="preserve">İndirimler Toplamı</w:t>
            </w:r>
          </w:p>
        </w:tc>
        <w:tc>
          <w:tcPr>
            <w:tcW w:w="1224" w:type="dxa"/>
            <w:shd w:val="clear" w:color="auto" w:fill="D9D9D9"/>
            <w:vAlign w:val="center"/>
          </w:tcPr>
          <w:p>
            <w:pPr>
              <w:spacing w:before="40" w:after="40" w:line="240" w:lineRule="auto"/>
              <w:jc w:val="right"/>
            </w:pPr>
            <w:r>
              <w:rPr>
                <w:b/>
                <w:sz w:val="18"/>
                <w:szCs w:val="18"/>
              </w:rPr>
              <w:t xml:space="preserve">Ödenecek KDV</w:t>
            </w:r>
          </w:p>
        </w:tc>
        <w:tc>
          <w:tcPr>
            <w:tcW w:w="1230" w:type="dxa"/>
            <w:shd w:val="clear" w:color="auto" w:fill="D9D9D9"/>
            <w:vAlign w:val="center"/>
          </w:tcPr>
          <w:p>
            <w:pPr>
              <w:spacing w:before="40" w:after="40" w:line="240" w:lineRule="auto"/>
              <w:jc w:val="right"/>
            </w:pPr>
            <w:r>
              <w:rPr>
                <w:b/>
                <w:sz w:val="18"/>
                <w:szCs w:val="18"/>
              </w:rPr>
              <w:t xml:space="preserve">Son. Dön. Dev. KDV</w:t>
            </w:r>
          </w:p>
        </w:tc>
      </w:tr>
      <w:tr>
        <w:tc>
          <w:tcPr>
            <w:tcW w:w="1064" w:type="dxa"/>
            <w:vAlign w:val="center"/>
          </w:tcPr>
          <w:p>
            <w:pPr>
              <w:spacing w:before="40" w:after="40" w:line="240" w:lineRule="auto"/>
              <w:jc w:val="left"/>
            </w:pPr>
            <w:r>
              <w:rPr>
                <w:sz w:val="18"/>
                <w:szCs w:val="18"/>
              </w:rPr>
              <w:t xml:space="preserve">Ocak</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Şubat</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Mart</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Nisan</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Mayıs</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Haziran</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Temmuz</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Ağustos</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Eylül</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Ekim</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Kasım</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vAlign w:val="center"/>
          </w:tcPr>
          <w:p>
            <w:pPr>
              <w:spacing w:before="40" w:after="40" w:line="240" w:lineRule="auto"/>
              <w:jc w:val="left"/>
            </w:pPr>
            <w:r>
              <w:rPr>
                <w:sz w:val="18"/>
                <w:szCs w:val="18"/>
              </w:rPr>
              <w:t xml:space="preserve">Aralık</w:t>
            </w:r>
          </w:p>
        </w:tc>
        <w:tc>
          <w:tcPr>
            <w:tcW w:w="1224" w:type="dxa"/>
            <w:vAlign w:val="center"/>
          </w:tcPr>
          <w:p>
            <w:pPr>
              <w:spacing w:before="40" w:after="40" w:line="240" w:lineRule="auto"/>
              <w:jc w:val="right"/>
            </w:pPr>
            <w:r>
              <w:rPr>
                <w:sz w:val="18"/>
                <w:szCs w:val="18"/>
              </w:rPr>
              <w:t xml:space="preserve">500.000,00</w:t>
            </w:r>
          </w:p>
        </w:tc>
        <w:tc>
          <w:tcPr>
            <w:tcW w:w="1224" w:type="dxa"/>
            <w:vAlign w:val="center"/>
          </w:tcPr>
          <w:p>
            <w:pPr>
              <w:spacing w:before="40" w:after="40" w:line="240" w:lineRule="auto"/>
              <w:jc w:val="right"/>
            </w:pPr>
            <w:r>
              <w:rPr>
                <w:sz w:val="18"/>
                <w:szCs w:val="18"/>
              </w:rPr>
              <w:t xml:space="preserve">100.000,00</w:t>
            </w:r>
          </w:p>
        </w:tc>
        <w:tc>
          <w:tcPr>
            <w:tcW w:w="1224" w:type="dxa"/>
            <w:vAlign w:val="center"/>
          </w:tcPr>
          <w:p>
            <w:pPr>
              <w:spacing w:before="40" w:after="40" w:line="240" w:lineRule="auto"/>
              <w:jc w:val="right"/>
            </w:pPr>
            <w:r>
              <w:rPr>
                <w:sz w:val="18"/>
                <w:szCs w:val="18"/>
              </w:rPr>
              <w:t xml:space="preserve">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95.000,00</w:t>
            </w:r>
          </w:p>
        </w:tc>
        <w:tc>
          <w:tcPr>
            <w:tcW w:w="1224" w:type="dxa"/>
            <w:vAlign w:val="center"/>
          </w:tcPr>
          <w:p>
            <w:pPr>
              <w:spacing w:before="40" w:after="40" w:line="240" w:lineRule="auto"/>
              <w:jc w:val="right"/>
            </w:pPr>
            <w:r>
              <w:rPr>
                <w:sz w:val="18"/>
                <w:szCs w:val="18"/>
              </w:rPr>
              <w:t xml:space="preserve">5.000,00</w:t>
            </w:r>
          </w:p>
        </w:tc>
        <w:tc>
          <w:tcPr>
            <w:tcW w:w="1230" w:type="dxa"/>
            <w:vAlign w:val="center"/>
          </w:tcPr>
          <w:p>
            <w:pPr>
              <w:spacing w:before="40" w:after="40" w:line="240" w:lineRule="auto"/>
              <w:jc w:val="right"/>
            </w:pPr>
            <w:r>
              <w:rPr>
                <w:sz w:val="18"/>
                <w:szCs w:val="18"/>
              </w:rPr>
              <w:t xml:space="preserve">0,00</w:t>
            </w:r>
          </w:p>
        </w:tc>
      </w:tr>
      <w:tr>
        <w:tc>
          <w:tcPr>
            <w:tcW w:w="1064" w:type="dxa"/>
            <w:shd w:val="clear" w:color="auto" w:fill="EDEDED"/>
            <w:vAlign w:val="center"/>
          </w:tcPr>
          <w:p>
            <w:pPr>
              <w:spacing w:before="40" w:after="40" w:line="240" w:lineRule="auto"/>
              <w:jc w:val="left"/>
            </w:pPr>
            <w:r>
              <w:rPr>
                <w:b/>
                <w:sz w:val="18"/>
                <w:szCs w:val="18"/>
              </w:rPr>
              <w:t xml:space="preserve">Toplam:</w:t>
            </w:r>
          </w:p>
        </w:tc>
        <w:tc>
          <w:tcPr>
            <w:tcW w:w="1224" w:type="dxa"/>
            <w:shd w:val="clear" w:color="auto" w:fill="EDEDED"/>
            <w:vAlign w:val="center"/>
          </w:tcPr>
          <w:p>
            <w:pPr>
              <w:spacing w:before="40" w:after="40" w:line="240" w:lineRule="auto"/>
              <w:jc w:val="right"/>
            </w:pPr>
            <w:r>
              <w:rPr>
                <w:b/>
                <w:sz w:val="18"/>
                <w:szCs w:val="18"/>
              </w:rPr>
              <w:t xml:space="preserve">6.000.000,00</w:t>
            </w:r>
          </w:p>
        </w:tc>
        <w:tc>
          <w:tcPr>
            <w:tcW w:w="1224" w:type="dxa"/>
            <w:shd w:val="clear" w:color="auto" w:fill="EDEDED"/>
            <w:vAlign w:val="center"/>
          </w:tcPr>
          <w:p>
            <w:pPr>
              <w:spacing w:before="40" w:after="40" w:line="240" w:lineRule="auto"/>
              <w:jc w:val="right"/>
            </w:pPr>
            <w:r>
              <w:rPr>
                <w:b/>
                <w:sz w:val="18"/>
                <w:szCs w:val="18"/>
              </w:rPr>
              <w:t xml:space="preserve">1.200.000,00</w:t>
            </w:r>
          </w:p>
        </w:tc>
        <w:tc>
          <w:tcPr>
            <w:tcW w:w="1224" w:type="dxa"/>
            <w:shd w:val="clear" w:color="auto" w:fill="EDEDED"/>
            <w:vAlign w:val="center"/>
          </w:tcPr>
          <w:p>
            <w:pPr>
              <w:spacing w:before="40" w:after="40" w:line="240" w:lineRule="auto"/>
              <w:jc w:val="right"/>
            </w:pPr>
            <w:r>
              <w:rPr>
                <w:b/>
                <w:sz w:val="18"/>
                <w:szCs w:val="18"/>
              </w:rPr>
              <w:t xml:space="preserve">0,00</w:t>
            </w:r>
          </w:p>
        </w:tc>
        <w:tc>
          <w:tcPr>
            <w:tcW w:w="1224" w:type="dxa"/>
            <w:shd w:val="clear" w:color="auto" w:fill="EDEDED"/>
            <w:vAlign w:val="center"/>
          </w:tcPr>
          <w:p>
            <w:pPr>
              <w:spacing w:before="40" w:after="40" w:line="240" w:lineRule="auto"/>
              <w:jc w:val="right"/>
            </w:pPr>
            <w:r>
              <w:rPr>
                <w:b/>
                <w:sz w:val="18"/>
                <w:szCs w:val="18"/>
              </w:rPr>
              <w:t xml:space="preserve">1.140.000,00</w:t>
            </w:r>
          </w:p>
        </w:tc>
        <w:tc>
          <w:tcPr>
            <w:tcW w:w="1224" w:type="dxa"/>
            <w:shd w:val="clear" w:color="auto" w:fill="EDEDED"/>
            <w:vAlign w:val="center"/>
          </w:tcPr>
          <w:p>
            <w:pPr>
              <w:spacing w:before="40" w:after="40" w:line="240" w:lineRule="auto"/>
              <w:jc w:val="right"/>
            </w:pPr>
            <w:r>
              <w:rPr>
                <w:b/>
                <w:sz w:val="18"/>
                <w:szCs w:val="18"/>
              </w:rPr>
              <w:t xml:space="preserve">1.140.000,00</w:t>
            </w:r>
          </w:p>
        </w:tc>
        <w:tc>
          <w:tcPr>
            <w:tcW w:w="1224" w:type="dxa"/>
            <w:shd w:val="clear" w:color="auto" w:fill="EDEDED"/>
            <w:vAlign w:val="center"/>
          </w:tcPr>
          <w:p>
            <w:pPr>
              <w:spacing w:before="40" w:after="40" w:line="240" w:lineRule="auto"/>
              <w:jc w:val="right"/>
            </w:pPr>
            <w:r>
              <w:rPr>
                <w:b/>
                <w:sz w:val="18"/>
                <w:szCs w:val="18"/>
              </w:rPr>
              <w:t xml:space="preserve">60.000,00</w:t>
            </w:r>
          </w:p>
        </w:tc>
        <w:tc>
          <w:tcPr>
            <w:tcW w:w="1230" w:type="dxa"/>
            <w:shd w:val="clear" w:color="auto" w:fill="EDEDED"/>
            <w:vAlign w:val="center"/>
          </w:tcPr>
          <w:p>
            <w:pPr>
              <w:spacing w:before="40" w:after="40" w:line="240" w:lineRule="auto"/>
              <w:jc w:val="right"/>
            </w:pPr>
            <w:r>
              <w:rPr>
                <w:b/>
                <w:sz w:val="18"/>
                <w:szCs w:val="18"/>
              </w:rPr>
              <w:t xml:space="preserve">0,00</w:t>
            </w:r>
          </w:p>
        </w:tc>
      </w:tr>
    </w:tbl>
    <w:p>
      <w:pPr>
        <w:spacing w:after="120"/>
      </w:pPr>
    </w:p>
    <w:p>
      <w:pPr>
        <w:spacing w:before="140" w:after="80" w:line="360" w:lineRule="auto"/>
        <w:jc w:val="both"/>
      </w:pPr>
      <w:r>
        <w:rPr>
          <w:b/>
        </w:rPr>
        <w:t xml:space="preserve">5- Mükellef Kurumun Ba-Bs analizi sorgulamasında Dörtkat Vergi Dairesi Müdürlüğünün 2950362893 vergi kimlik numaralı mükellefi CAYAZ SALATALIK TARIM TİC. LTD. ŞTİ.’den 1 belge ile KDV hariç 240.779,67 TL tutarında alış bildiriminde bulunduğu tespit edilmiştir. Mükellef tarafından müfettişliğimize ibraz edilen faturalara ait ayrıntılı bilgiler ile defter kayıtları aşağıdaki gibidir. (Ek-2: 1 adet fatura fotokopisi)</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20"/>
        <w:gridCol w:w="1568"/>
        <w:gridCol w:w="1456"/>
        <w:gridCol w:w="1232"/>
        <w:gridCol w:w="1120"/>
        <w:gridCol w:w="1232"/>
        <w:gridCol w:w="1120"/>
        <w:gridCol w:w="790"/>
      </w:tblGrid>
      <w:tr>
        <w:trPr>
          <w:tblHeader/>
        </w:trPr>
        <w:tc>
          <w:tcPr>
            <w:tcW w:w="1120" w:type="dxa"/>
            <w:shd w:val="clear" w:color="auto" w:fill="D9D9D9"/>
            <w:vAlign w:val="center"/>
          </w:tcPr>
          <w:p>
            <w:pPr>
              <w:spacing w:before="40" w:after="40" w:line="240" w:lineRule="auto"/>
              <w:jc w:val="center"/>
            </w:pPr>
            <w:r>
              <w:rPr>
                <w:b/>
                <w:sz w:val="18"/>
                <w:szCs w:val="18"/>
              </w:rPr>
              <w:t xml:space="preserve">Fatura Tarih</w:t>
            </w:r>
          </w:p>
        </w:tc>
        <w:tc>
          <w:tcPr>
            <w:tcW w:w="1568" w:type="dxa"/>
            <w:shd w:val="clear" w:color="auto" w:fill="D9D9D9"/>
            <w:vAlign w:val="center"/>
          </w:tcPr>
          <w:p>
            <w:pPr>
              <w:spacing w:before="40" w:after="40" w:line="240" w:lineRule="auto"/>
              <w:jc w:val="left"/>
            </w:pPr>
            <w:r>
              <w:rPr>
                <w:b/>
                <w:sz w:val="18"/>
                <w:szCs w:val="18"/>
              </w:rPr>
              <w:t xml:space="preserve">Fatura No</w:t>
            </w:r>
          </w:p>
        </w:tc>
        <w:tc>
          <w:tcPr>
            <w:tcW w:w="1456" w:type="dxa"/>
            <w:shd w:val="clear" w:color="auto" w:fill="D9D9D9"/>
            <w:vAlign w:val="center"/>
          </w:tcPr>
          <w:p>
            <w:pPr>
              <w:spacing w:before="40" w:after="40" w:line="240" w:lineRule="auto"/>
              <w:jc w:val="left"/>
            </w:pPr>
            <w:r>
              <w:rPr>
                <w:b/>
                <w:sz w:val="18"/>
                <w:szCs w:val="18"/>
              </w:rPr>
              <w:t xml:space="preserve">Malın Cinsi</w:t>
            </w:r>
          </w:p>
        </w:tc>
        <w:tc>
          <w:tcPr>
            <w:tcW w:w="1232" w:type="dxa"/>
            <w:shd w:val="clear" w:color="auto" w:fill="D9D9D9"/>
            <w:vAlign w:val="center"/>
          </w:tcPr>
          <w:p>
            <w:pPr>
              <w:spacing w:before="40" w:after="40" w:line="240" w:lineRule="auto"/>
              <w:jc w:val="right"/>
            </w:pPr>
            <w:r>
              <w:rPr>
                <w:b/>
                <w:sz w:val="18"/>
                <w:szCs w:val="18"/>
              </w:rPr>
              <w:t xml:space="preserve">Tutar</w:t>
            </w:r>
          </w:p>
        </w:tc>
        <w:tc>
          <w:tcPr>
            <w:tcW w:w="1120" w:type="dxa"/>
            <w:shd w:val="clear" w:color="auto" w:fill="D9D9D9"/>
            <w:vAlign w:val="center"/>
          </w:tcPr>
          <w:p>
            <w:pPr>
              <w:spacing w:before="40" w:after="40" w:line="240" w:lineRule="auto"/>
              <w:jc w:val="right"/>
            </w:pPr>
            <w:r>
              <w:rPr>
                <w:b/>
                <w:sz w:val="18"/>
                <w:szCs w:val="18"/>
              </w:rPr>
              <w:t xml:space="preserve">KDV</w:t>
            </w:r>
          </w:p>
        </w:tc>
        <w:tc>
          <w:tcPr>
            <w:tcW w:w="1232" w:type="dxa"/>
            <w:shd w:val="clear" w:color="auto" w:fill="D9D9D9"/>
            <w:vAlign w:val="center"/>
          </w:tcPr>
          <w:p>
            <w:pPr>
              <w:spacing w:before="40" w:after="40" w:line="240" w:lineRule="auto"/>
              <w:jc w:val="right"/>
            </w:pPr>
            <w:r>
              <w:rPr>
                <w:b/>
                <w:sz w:val="18"/>
                <w:szCs w:val="18"/>
              </w:rPr>
              <w:t xml:space="preserve">Toplam Tutar</w:t>
            </w:r>
          </w:p>
        </w:tc>
        <w:tc>
          <w:tcPr>
            <w:tcW w:w="1120" w:type="dxa"/>
            <w:shd w:val="clear" w:color="auto" w:fill="D9D9D9"/>
            <w:vAlign w:val="center"/>
          </w:tcPr>
          <w:p>
            <w:pPr>
              <w:spacing w:before="40" w:after="40" w:line="240" w:lineRule="auto"/>
              <w:jc w:val="center"/>
            </w:pPr>
            <w:r>
              <w:rPr>
                <w:b/>
                <w:sz w:val="18"/>
                <w:szCs w:val="18"/>
              </w:rPr>
              <w:t xml:space="preserve">Yevmiye Tarih</w:t>
            </w:r>
          </w:p>
        </w:tc>
        <w:tc>
          <w:tcPr>
            <w:tcW w:w="790" w:type="dxa"/>
            <w:shd w:val="clear" w:color="auto" w:fill="D9D9D9"/>
            <w:vAlign w:val="center"/>
          </w:tcPr>
          <w:p>
            <w:pPr>
              <w:spacing w:before="40" w:after="40" w:line="240" w:lineRule="auto"/>
              <w:jc w:val="center"/>
            </w:pPr>
            <w:r>
              <w:rPr>
                <w:b/>
                <w:sz w:val="18"/>
                <w:szCs w:val="18"/>
              </w:rPr>
              <w:t xml:space="preserve">Yevmiye No</w:t>
            </w:r>
          </w:p>
        </w:tc>
      </w:tr>
      <w:tr>
        <w:tc>
          <w:tcPr>
            <w:tcW w:w="1120" w:type="dxa"/>
            <w:vAlign w:val="center"/>
          </w:tcPr>
          <w:p>
            <w:pPr>
              <w:spacing w:before="40" w:after="40" w:line="240" w:lineRule="auto"/>
              <w:jc w:val="center"/>
            </w:pPr>
            <w:r>
              <w:rPr>
                <w:sz w:val="18"/>
                <w:szCs w:val="18"/>
              </w:rPr>
              <w:t xml:space="preserve">2023-06-05</w:t>
            </w:r>
          </w:p>
        </w:tc>
        <w:tc>
          <w:tcPr>
            <w:tcW w:w="1568" w:type="dxa"/>
            <w:vAlign w:val="center"/>
          </w:tcPr>
          <w:p>
            <w:pPr>
              <w:spacing w:before="40" w:after="40" w:line="240" w:lineRule="auto"/>
              <w:jc w:val="left"/>
            </w:pPr>
            <w:r>
              <w:rPr>
                <w:sz w:val="18"/>
                <w:szCs w:val="18"/>
              </w:rPr>
              <w:t xml:space="preserve">MAY-01</w:t>
            </w:r>
          </w:p>
        </w:tc>
        <w:tc>
          <w:tcPr>
            <w:tcW w:w="1456" w:type="dxa"/>
            <w:vAlign w:val="center"/>
          </w:tcPr>
          <w:p>
            <w:pPr>
              <w:spacing w:before="40" w:after="40" w:line="240" w:lineRule="auto"/>
              <w:jc w:val="left"/>
            </w:pPr>
            <w:r>
              <w:rPr>
                <w:sz w:val="18"/>
                <w:szCs w:val="18"/>
              </w:rPr>
              <w:t xml:space="preserve">İNŞ.DEMİRİ</w:t>
            </w:r>
          </w:p>
        </w:tc>
        <w:tc>
          <w:tcPr>
            <w:tcW w:w="1232" w:type="dxa"/>
            <w:vAlign w:val="center"/>
          </w:tcPr>
          <w:p>
            <w:pPr>
              <w:spacing w:before="40" w:after="40" w:line="240" w:lineRule="auto"/>
              <w:jc w:val="right"/>
            </w:pPr>
            <w:r>
              <w:rPr>
                <w:sz w:val="18"/>
                <w:szCs w:val="18"/>
              </w:rPr>
              <w:t xml:space="preserve">240.779,67</w:t>
            </w:r>
          </w:p>
        </w:tc>
        <w:tc>
          <w:tcPr>
            <w:tcW w:w="1120" w:type="dxa"/>
            <w:vAlign w:val="center"/>
          </w:tcPr>
          <w:p>
            <w:pPr>
              <w:spacing w:before="40" w:after="40" w:line="240" w:lineRule="auto"/>
              <w:jc w:val="right"/>
            </w:pPr>
            <w:r>
              <w:rPr>
                <w:sz w:val="18"/>
                <w:szCs w:val="18"/>
              </w:rPr>
              <w:t xml:space="preserve">48.155,93</w:t>
            </w:r>
          </w:p>
        </w:tc>
        <w:tc>
          <w:tcPr>
            <w:tcW w:w="1232" w:type="dxa"/>
            <w:vAlign w:val="center"/>
          </w:tcPr>
          <w:p>
            <w:pPr>
              <w:spacing w:before="40" w:after="40" w:line="240" w:lineRule="auto"/>
              <w:jc w:val="right"/>
            </w:pPr>
            <w:r>
              <w:rPr>
                <w:sz w:val="18"/>
                <w:szCs w:val="18"/>
              </w:rPr>
              <w:t xml:space="preserve">288.935,60</w:t>
            </w:r>
          </w:p>
        </w:tc>
        <w:tc>
          <w:tcPr>
            <w:tcW w:w="1120" w:type="dxa"/>
            <w:vAlign w:val="center"/>
          </w:tcPr>
          <w:p>
            <w:pPr>
              <w:spacing w:before="40" w:after="40" w:line="240" w:lineRule="auto"/>
              <w:jc w:val="center"/>
            </w:pPr>
            <w:r>
              <w:rPr>
                <w:sz w:val="18"/>
                <w:szCs w:val="18"/>
              </w:rPr>
              <w:t xml:space="preserve">2023-06-10</w:t>
            </w:r>
          </w:p>
        </w:tc>
        <w:tc>
          <w:tcPr>
            <w:tcW w:w="790" w:type="dxa"/>
            <w:vAlign w:val="center"/>
          </w:tcPr>
          <w:p>
            <w:pPr>
              <w:spacing w:before="40" w:after="40" w:line="240" w:lineRule="auto"/>
              <w:jc w:val="center"/>
            </w:pPr>
            <w:r>
              <w:rPr>
                <w:sz w:val="18"/>
                <w:szCs w:val="18"/>
              </w:rPr>
              <w:t xml:space="preserve">00056</w:t>
            </w:r>
          </w:p>
        </w:tc>
      </w:tr>
      <w:tr>
        <w:tc>
          <w:tcPr>
            <w:tcW w:w="1120" w:type="dxa"/>
            <w:shd w:val="clear" w:color="auto" w:fill="EDEDED"/>
            <w:vAlign w:val="center"/>
          </w:tcPr>
          <w:p>
            <w:pPr>
              <w:spacing w:before="40" w:after="40" w:line="240" w:lineRule="auto"/>
              <w:jc w:val="center"/>
            </w:pPr>
            <w:r>
              <w:rPr>
                <w:b/>
                <w:sz w:val="18"/>
                <w:szCs w:val="18"/>
              </w:rPr>
              <w:t xml:space="preserve">TOPLAM</w:t>
            </w:r>
          </w:p>
        </w:tc>
        <w:tc>
          <w:tcPr>
            <w:tcW w:w="1568" w:type="dxa"/>
            <w:shd w:val="clear" w:color="auto" w:fill="EDEDED"/>
            <w:vAlign w:val="center"/>
          </w:tcPr>
          <w:p>
            <w:pPr>
              <w:spacing w:before="40" w:after="40" w:line="240" w:lineRule="auto"/>
              <w:jc w:val="left"/>
            </w:pPr>
            <w:r>
              <w:rPr>
                <w:b/>
                <w:sz w:val="18"/>
                <w:szCs w:val="18"/>
              </w:rPr>
            </w:r>
          </w:p>
        </w:tc>
        <w:tc>
          <w:tcPr>
            <w:tcW w:w="1456" w:type="dxa"/>
            <w:shd w:val="clear" w:color="auto" w:fill="EDEDED"/>
            <w:vAlign w:val="center"/>
          </w:tcPr>
          <w:p>
            <w:pPr>
              <w:spacing w:before="40" w:after="40" w:line="240" w:lineRule="auto"/>
              <w:jc w:val="left"/>
            </w:pPr>
            <w:r>
              <w:rPr>
                <w:b/>
                <w:sz w:val="18"/>
                <w:szCs w:val="18"/>
              </w:rPr>
            </w:r>
          </w:p>
        </w:tc>
        <w:tc>
          <w:tcPr>
            <w:tcW w:w="1232" w:type="dxa"/>
            <w:shd w:val="clear" w:color="auto" w:fill="EDEDED"/>
            <w:vAlign w:val="center"/>
          </w:tcPr>
          <w:p>
            <w:pPr>
              <w:spacing w:before="40" w:after="40" w:line="240" w:lineRule="auto"/>
              <w:jc w:val="right"/>
            </w:pPr>
            <w:r>
              <w:rPr>
                <w:b/>
                <w:sz w:val="18"/>
                <w:szCs w:val="18"/>
              </w:rPr>
              <w:t xml:space="preserve">240.779,67</w:t>
            </w:r>
          </w:p>
        </w:tc>
        <w:tc>
          <w:tcPr>
            <w:tcW w:w="1120" w:type="dxa"/>
            <w:shd w:val="clear" w:color="auto" w:fill="EDEDED"/>
            <w:vAlign w:val="center"/>
          </w:tcPr>
          <w:p>
            <w:pPr>
              <w:spacing w:before="40" w:after="40" w:line="240" w:lineRule="auto"/>
              <w:jc w:val="right"/>
            </w:pPr>
            <w:r>
              <w:rPr>
                <w:b/>
                <w:sz w:val="18"/>
                <w:szCs w:val="18"/>
              </w:rPr>
              <w:t xml:space="preserve">48.155,93</w:t>
            </w:r>
          </w:p>
        </w:tc>
        <w:tc>
          <w:tcPr>
            <w:tcW w:w="1232" w:type="dxa"/>
            <w:shd w:val="clear" w:color="auto" w:fill="EDEDED"/>
            <w:vAlign w:val="center"/>
          </w:tcPr>
          <w:p>
            <w:pPr>
              <w:spacing w:before="40" w:after="40" w:line="240" w:lineRule="auto"/>
              <w:jc w:val="right"/>
            </w:pPr>
            <w:r>
              <w:rPr>
                <w:b/>
                <w:sz w:val="18"/>
                <w:szCs w:val="18"/>
              </w:rPr>
              <w:t xml:space="preserve">288.935,60</w:t>
            </w:r>
          </w:p>
        </w:tc>
        <w:tc>
          <w:tcPr>
            <w:tcW w:w="1120" w:type="dxa"/>
            <w:shd w:val="clear" w:color="auto" w:fill="EDEDED"/>
            <w:vAlign w:val="center"/>
          </w:tcPr>
          <w:p>
            <w:pPr>
              <w:spacing w:before="40" w:after="40" w:line="240" w:lineRule="auto"/>
              <w:jc w:val="center"/>
            </w:pPr>
            <w:r>
              <w:rPr>
                <w:b/>
                <w:sz w:val="18"/>
                <w:szCs w:val="18"/>
              </w:rPr>
            </w:r>
          </w:p>
        </w:tc>
        <w:tc>
          <w:tcPr>
            <w:tcW w:w="790" w:type="dxa"/>
            <w:shd w:val="clear" w:color="auto" w:fill="EDEDED"/>
            <w:vAlign w:val="center"/>
          </w:tcPr>
          <w:p>
            <w:pPr>
              <w:spacing w:before="40" w:after="40" w:line="240" w:lineRule="auto"/>
              <w:jc w:val="center"/>
            </w:pPr>
            <w:r>
              <w:rPr>
                <w:b/>
                <w:sz w:val="18"/>
                <w:szCs w:val="18"/>
              </w:rPr>
            </w:r>
          </w:p>
        </w:tc>
      </w:tr>
    </w:tbl>
    <w:p>
      <w:pPr>
        <w:spacing w:after="120"/>
      </w:pPr>
    </w:p>
    <w:p>
      <w:pPr>
        <w:spacing w:before="140" w:after="80" w:line="360" w:lineRule="auto"/>
        <w:jc w:val="both"/>
      </w:pPr>
      <w:r>
        <w:rPr>
          <w:b/>
        </w:rPr>
        <w:t xml:space="preserve">6- Mükellef Kurumun Ba-Bs analizi sorgulamasında Dörtyol Vergi Dairesi Müdürlüğünün 2171802681 vergi kimlik numaralı mükellefi MAYAZ DOMATEZ TARIM TİC. LTD. ŞTİ.’den 1 belge ile KDV hariç 18.096,00 TL tutarında alış bildiriminde bulunduğu tespit edilmiştir. Mükellef tarafından müfettişliğimize ibraz edilen faturalara ait ayrıntılı bilgiler ile defter kayıtları aşağıdaki gibidir. (Ek-2: 1 adet fatura fotokopisi)</w:t>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20"/>
        <w:gridCol w:w="1568"/>
        <w:gridCol w:w="1456"/>
        <w:gridCol w:w="1232"/>
        <w:gridCol w:w="1120"/>
        <w:gridCol w:w="1232"/>
        <w:gridCol w:w="1120"/>
        <w:gridCol w:w="790"/>
      </w:tblGrid>
      <w:tr>
        <w:trPr>
          <w:tblHeader/>
        </w:trPr>
        <w:tc>
          <w:tcPr>
            <w:tcW w:w="1120" w:type="dxa"/>
            <w:shd w:val="clear" w:color="auto" w:fill="D9D9D9"/>
            <w:vAlign w:val="center"/>
          </w:tcPr>
          <w:p>
            <w:pPr>
              <w:spacing w:before="40" w:after="40" w:line="240" w:lineRule="auto"/>
              <w:jc w:val="center"/>
            </w:pPr>
            <w:r>
              <w:rPr>
                <w:b/>
                <w:sz w:val="18"/>
                <w:szCs w:val="18"/>
              </w:rPr>
              <w:t xml:space="preserve">Fatura Tarih</w:t>
            </w:r>
          </w:p>
        </w:tc>
        <w:tc>
          <w:tcPr>
            <w:tcW w:w="1568" w:type="dxa"/>
            <w:shd w:val="clear" w:color="auto" w:fill="D9D9D9"/>
            <w:vAlign w:val="center"/>
          </w:tcPr>
          <w:p>
            <w:pPr>
              <w:spacing w:before="40" w:after="40" w:line="240" w:lineRule="auto"/>
              <w:jc w:val="left"/>
            </w:pPr>
            <w:r>
              <w:rPr>
                <w:b/>
                <w:sz w:val="18"/>
                <w:szCs w:val="18"/>
              </w:rPr>
              <w:t xml:space="preserve">Fatura No</w:t>
            </w:r>
          </w:p>
        </w:tc>
        <w:tc>
          <w:tcPr>
            <w:tcW w:w="1456" w:type="dxa"/>
            <w:shd w:val="clear" w:color="auto" w:fill="D9D9D9"/>
            <w:vAlign w:val="center"/>
          </w:tcPr>
          <w:p>
            <w:pPr>
              <w:spacing w:before="40" w:after="40" w:line="240" w:lineRule="auto"/>
              <w:jc w:val="left"/>
            </w:pPr>
            <w:r>
              <w:rPr>
                <w:b/>
                <w:sz w:val="18"/>
                <w:szCs w:val="18"/>
              </w:rPr>
              <w:t xml:space="preserve">Malın Cinsi</w:t>
            </w:r>
          </w:p>
        </w:tc>
        <w:tc>
          <w:tcPr>
            <w:tcW w:w="1232" w:type="dxa"/>
            <w:shd w:val="clear" w:color="auto" w:fill="D9D9D9"/>
            <w:vAlign w:val="center"/>
          </w:tcPr>
          <w:p>
            <w:pPr>
              <w:spacing w:before="40" w:after="40" w:line="240" w:lineRule="auto"/>
              <w:jc w:val="right"/>
            </w:pPr>
            <w:r>
              <w:rPr>
                <w:b/>
                <w:sz w:val="18"/>
                <w:szCs w:val="18"/>
              </w:rPr>
              <w:t xml:space="preserve">Tutar</w:t>
            </w:r>
          </w:p>
        </w:tc>
        <w:tc>
          <w:tcPr>
            <w:tcW w:w="1120" w:type="dxa"/>
            <w:shd w:val="clear" w:color="auto" w:fill="D9D9D9"/>
            <w:vAlign w:val="center"/>
          </w:tcPr>
          <w:p>
            <w:pPr>
              <w:spacing w:before="40" w:after="40" w:line="240" w:lineRule="auto"/>
              <w:jc w:val="right"/>
            </w:pPr>
            <w:r>
              <w:rPr>
                <w:b/>
                <w:sz w:val="18"/>
                <w:szCs w:val="18"/>
              </w:rPr>
              <w:t xml:space="preserve">KDV</w:t>
            </w:r>
          </w:p>
        </w:tc>
        <w:tc>
          <w:tcPr>
            <w:tcW w:w="1232" w:type="dxa"/>
            <w:shd w:val="clear" w:color="auto" w:fill="D9D9D9"/>
            <w:vAlign w:val="center"/>
          </w:tcPr>
          <w:p>
            <w:pPr>
              <w:spacing w:before="40" w:after="40" w:line="240" w:lineRule="auto"/>
              <w:jc w:val="right"/>
            </w:pPr>
            <w:r>
              <w:rPr>
                <w:b/>
                <w:sz w:val="18"/>
                <w:szCs w:val="18"/>
              </w:rPr>
              <w:t xml:space="preserve">Toplam Tutar</w:t>
            </w:r>
          </w:p>
        </w:tc>
        <w:tc>
          <w:tcPr>
            <w:tcW w:w="1120" w:type="dxa"/>
            <w:shd w:val="clear" w:color="auto" w:fill="D9D9D9"/>
            <w:vAlign w:val="center"/>
          </w:tcPr>
          <w:p>
            <w:pPr>
              <w:spacing w:before="40" w:after="40" w:line="240" w:lineRule="auto"/>
              <w:jc w:val="center"/>
            </w:pPr>
            <w:r>
              <w:rPr>
                <w:b/>
                <w:sz w:val="18"/>
                <w:szCs w:val="18"/>
              </w:rPr>
              <w:t xml:space="preserve">Yevmiye Tarih</w:t>
            </w:r>
          </w:p>
        </w:tc>
        <w:tc>
          <w:tcPr>
            <w:tcW w:w="790" w:type="dxa"/>
            <w:shd w:val="clear" w:color="auto" w:fill="D9D9D9"/>
            <w:vAlign w:val="center"/>
          </w:tcPr>
          <w:p>
            <w:pPr>
              <w:spacing w:before="40" w:after="40" w:line="240" w:lineRule="auto"/>
              <w:jc w:val="center"/>
            </w:pPr>
            <w:r>
              <w:rPr>
                <w:b/>
                <w:sz w:val="18"/>
                <w:szCs w:val="18"/>
              </w:rPr>
              <w:t xml:space="preserve">Yevmiye No</w:t>
            </w:r>
          </w:p>
        </w:tc>
      </w:tr>
      <w:tr>
        <w:tc>
          <w:tcPr>
            <w:tcW w:w="1120" w:type="dxa"/>
            <w:vAlign w:val="center"/>
          </w:tcPr>
          <w:p>
            <w:pPr>
              <w:spacing w:before="40" w:after="40" w:line="240" w:lineRule="auto"/>
              <w:jc w:val="center"/>
            </w:pPr>
            <w:r>
              <w:rPr>
                <w:sz w:val="18"/>
                <w:szCs w:val="18"/>
              </w:rPr>
              <w:t xml:space="preserve">2023-03-05</w:t>
            </w:r>
          </w:p>
        </w:tc>
        <w:tc>
          <w:tcPr>
            <w:tcW w:w="1568" w:type="dxa"/>
            <w:vAlign w:val="center"/>
          </w:tcPr>
          <w:p>
            <w:pPr>
              <w:spacing w:before="40" w:after="40" w:line="240" w:lineRule="auto"/>
              <w:jc w:val="left"/>
            </w:pPr>
            <w:r>
              <w:rPr>
                <w:sz w:val="18"/>
                <w:szCs w:val="18"/>
              </w:rPr>
              <w:t xml:space="preserve">GIB-196</w:t>
            </w:r>
          </w:p>
        </w:tc>
        <w:tc>
          <w:tcPr>
            <w:tcW w:w="1456" w:type="dxa"/>
            <w:vAlign w:val="center"/>
          </w:tcPr>
          <w:p>
            <w:pPr>
              <w:spacing w:before="40" w:after="40" w:line="240" w:lineRule="auto"/>
              <w:jc w:val="left"/>
            </w:pPr>
            <w:r>
              <w:rPr>
                <w:sz w:val="18"/>
                <w:szCs w:val="18"/>
              </w:rPr>
              <w:t xml:space="preserve">MOTORİN</w:t>
            </w:r>
          </w:p>
        </w:tc>
        <w:tc>
          <w:tcPr>
            <w:tcW w:w="1232" w:type="dxa"/>
            <w:vAlign w:val="center"/>
          </w:tcPr>
          <w:p>
            <w:pPr>
              <w:spacing w:before="40" w:after="40" w:line="240" w:lineRule="auto"/>
              <w:jc w:val="right"/>
            </w:pPr>
            <w:r>
              <w:rPr>
                <w:sz w:val="18"/>
                <w:szCs w:val="18"/>
              </w:rPr>
              <w:t xml:space="preserve">18.096,00</w:t>
            </w:r>
          </w:p>
        </w:tc>
        <w:tc>
          <w:tcPr>
            <w:tcW w:w="1120" w:type="dxa"/>
            <w:vAlign w:val="center"/>
          </w:tcPr>
          <w:p>
            <w:pPr>
              <w:spacing w:before="40" w:after="40" w:line="240" w:lineRule="auto"/>
              <w:jc w:val="right"/>
            </w:pPr>
            <w:r>
              <w:rPr>
                <w:sz w:val="18"/>
                <w:szCs w:val="18"/>
              </w:rPr>
              <w:t xml:space="preserve">3.619,20</w:t>
            </w:r>
          </w:p>
        </w:tc>
        <w:tc>
          <w:tcPr>
            <w:tcW w:w="1232" w:type="dxa"/>
            <w:vAlign w:val="center"/>
          </w:tcPr>
          <w:p>
            <w:pPr>
              <w:spacing w:before="40" w:after="40" w:line="240" w:lineRule="auto"/>
              <w:jc w:val="right"/>
            </w:pPr>
            <w:r>
              <w:rPr>
                <w:sz w:val="18"/>
                <w:szCs w:val="18"/>
              </w:rPr>
              <w:t xml:space="preserve">21.715,20</w:t>
            </w:r>
          </w:p>
        </w:tc>
        <w:tc>
          <w:tcPr>
            <w:tcW w:w="1120" w:type="dxa"/>
            <w:vAlign w:val="center"/>
          </w:tcPr>
          <w:p>
            <w:pPr>
              <w:spacing w:before="40" w:after="40" w:line="240" w:lineRule="auto"/>
              <w:jc w:val="center"/>
            </w:pPr>
            <w:r>
              <w:rPr>
                <w:sz w:val="18"/>
                <w:szCs w:val="18"/>
              </w:rPr>
              <w:t xml:space="preserve">2023-03-10</w:t>
            </w:r>
          </w:p>
        </w:tc>
        <w:tc>
          <w:tcPr>
            <w:tcW w:w="790" w:type="dxa"/>
            <w:vAlign w:val="center"/>
          </w:tcPr>
          <w:p>
            <w:pPr>
              <w:spacing w:before="40" w:after="40" w:line="240" w:lineRule="auto"/>
              <w:jc w:val="center"/>
            </w:pPr>
            <w:r>
              <w:rPr>
                <w:sz w:val="18"/>
                <w:szCs w:val="18"/>
              </w:rPr>
              <w:t xml:space="preserve">00053</w:t>
            </w:r>
          </w:p>
        </w:tc>
      </w:tr>
      <w:tr>
        <w:tc>
          <w:tcPr>
            <w:tcW w:w="1120" w:type="dxa"/>
            <w:shd w:val="clear" w:color="auto" w:fill="EDEDED"/>
            <w:vAlign w:val="center"/>
          </w:tcPr>
          <w:p>
            <w:pPr>
              <w:spacing w:before="40" w:after="40" w:line="240" w:lineRule="auto"/>
              <w:jc w:val="center"/>
            </w:pPr>
            <w:r>
              <w:rPr>
                <w:b/>
                <w:sz w:val="18"/>
                <w:szCs w:val="18"/>
              </w:rPr>
              <w:t xml:space="preserve">TOPLAM</w:t>
            </w:r>
          </w:p>
        </w:tc>
        <w:tc>
          <w:tcPr>
            <w:tcW w:w="1568" w:type="dxa"/>
            <w:shd w:val="clear" w:color="auto" w:fill="EDEDED"/>
            <w:vAlign w:val="center"/>
          </w:tcPr>
          <w:p>
            <w:pPr>
              <w:spacing w:before="40" w:after="40" w:line="240" w:lineRule="auto"/>
              <w:jc w:val="left"/>
            </w:pPr>
            <w:r>
              <w:rPr>
                <w:b/>
                <w:sz w:val="18"/>
                <w:szCs w:val="18"/>
              </w:rPr>
            </w:r>
          </w:p>
        </w:tc>
        <w:tc>
          <w:tcPr>
            <w:tcW w:w="1456" w:type="dxa"/>
            <w:shd w:val="clear" w:color="auto" w:fill="EDEDED"/>
            <w:vAlign w:val="center"/>
          </w:tcPr>
          <w:p>
            <w:pPr>
              <w:spacing w:before="40" w:after="40" w:line="240" w:lineRule="auto"/>
              <w:jc w:val="left"/>
            </w:pPr>
            <w:r>
              <w:rPr>
                <w:b/>
                <w:sz w:val="18"/>
                <w:szCs w:val="18"/>
              </w:rPr>
            </w:r>
          </w:p>
        </w:tc>
        <w:tc>
          <w:tcPr>
            <w:tcW w:w="1232" w:type="dxa"/>
            <w:shd w:val="clear" w:color="auto" w:fill="EDEDED"/>
            <w:vAlign w:val="center"/>
          </w:tcPr>
          <w:p>
            <w:pPr>
              <w:spacing w:before="40" w:after="40" w:line="240" w:lineRule="auto"/>
              <w:jc w:val="right"/>
            </w:pPr>
            <w:r>
              <w:rPr>
                <w:b/>
                <w:sz w:val="18"/>
                <w:szCs w:val="18"/>
              </w:rPr>
              <w:t xml:space="preserve">18.096,00</w:t>
            </w:r>
          </w:p>
        </w:tc>
        <w:tc>
          <w:tcPr>
            <w:tcW w:w="1120" w:type="dxa"/>
            <w:shd w:val="clear" w:color="auto" w:fill="EDEDED"/>
            <w:vAlign w:val="center"/>
          </w:tcPr>
          <w:p>
            <w:pPr>
              <w:spacing w:before="40" w:after="40" w:line="240" w:lineRule="auto"/>
              <w:jc w:val="right"/>
            </w:pPr>
            <w:r>
              <w:rPr>
                <w:b/>
                <w:sz w:val="18"/>
                <w:szCs w:val="18"/>
              </w:rPr>
              <w:t xml:space="preserve">3.619,20</w:t>
            </w:r>
          </w:p>
        </w:tc>
        <w:tc>
          <w:tcPr>
            <w:tcW w:w="1232" w:type="dxa"/>
            <w:shd w:val="clear" w:color="auto" w:fill="EDEDED"/>
            <w:vAlign w:val="center"/>
          </w:tcPr>
          <w:p>
            <w:pPr>
              <w:spacing w:before="40" w:after="40" w:line="240" w:lineRule="auto"/>
              <w:jc w:val="right"/>
            </w:pPr>
            <w:r>
              <w:rPr>
                <w:b/>
                <w:sz w:val="18"/>
                <w:szCs w:val="18"/>
              </w:rPr>
              <w:t xml:space="preserve">21.715,20</w:t>
            </w:r>
          </w:p>
        </w:tc>
        <w:tc>
          <w:tcPr>
            <w:tcW w:w="1120" w:type="dxa"/>
            <w:shd w:val="clear" w:color="auto" w:fill="EDEDED"/>
            <w:vAlign w:val="center"/>
          </w:tcPr>
          <w:p>
            <w:pPr>
              <w:spacing w:before="40" w:after="40" w:line="240" w:lineRule="auto"/>
              <w:jc w:val="center"/>
            </w:pPr>
            <w:r>
              <w:rPr>
                <w:b/>
                <w:sz w:val="18"/>
                <w:szCs w:val="18"/>
              </w:rPr>
            </w:r>
          </w:p>
        </w:tc>
        <w:tc>
          <w:tcPr>
            <w:tcW w:w="790" w:type="dxa"/>
            <w:shd w:val="clear" w:color="auto" w:fill="EDEDED"/>
            <w:vAlign w:val="center"/>
          </w:tcPr>
          <w:p>
            <w:pPr>
              <w:spacing w:before="40" w:after="40" w:line="240" w:lineRule="auto"/>
              <w:jc w:val="center"/>
            </w:pPr>
            <w:r>
              <w:rPr>
                <w:b/>
                <w:sz w:val="18"/>
                <w:szCs w:val="18"/>
              </w:rPr>
            </w:r>
          </w:p>
        </w:tc>
      </w:tr>
    </w:tbl>
    <w:p>
      <w:pPr>
        <w:spacing w:after="120"/>
      </w:pPr>
    </w:p>
    <w:p>
      <w:pPr>
        <w:spacing w:before="140" w:after="80" w:line="360" w:lineRule="auto"/>
        <w:jc w:val="both"/>
      </w:pPr>
      <w:r>
        <w:rPr>
          <w:b/>
        </w:rPr>
        <w:t xml:space="preserve">7- Mükellefe Rapor Değerlendirme Komisyonlarında dinlenme talebinin olup olmadığı sorulmuş olup, mükellef cevaben; “Dinlenme talebi yoktur.” şeklinde ifade ve beyanda bulunmuştur.</w:t>
      </w:r>
    </w:p>
    <w:p>
      <w:pPr>
        <w:spacing w:before="140" w:after="80" w:line="360" w:lineRule="auto"/>
        <w:jc w:val="both"/>
      </w:pPr>
      <w:r>
        <w:rPr>
          <w:b/>
        </w:rPr>
        <w:t xml:space="preserve">8- Mükellefe; inceleme tutanağının bir taslağının, varsa itiraz ve mülahazaların geçirilebilmesini sağlamak amacıyla tutanağın imzalanmasından iki gün öncesinde bilgilerine sunulabileceği hususu hatırlatılmış olup, mükellef cevaben; “Taslak tutanak talebim bulunmamaktadır.” şeklinde ifade ve beyanda bulunmuştur.</w:t>
      </w:r>
    </w:p>
    <w:p>
      <w:pPr>
        <w:spacing w:before="140" w:after="80" w:line="360" w:lineRule="auto"/>
        <w:jc w:val="both"/>
      </w:pPr>
      <w:r>
        <w:rPr>
          <w:b/>
        </w:rPr>
        <w:t xml:space="preserve">9- Mükellef 2023 hesap dönemi için tarhiyat öncesi uzlaşma talebinde bulunmamıştır.</w:t>
      </w:r>
    </w:p>
    <w:p>
      <w:pPr>
        <w:spacing w:before="140" w:after="80" w:line="360" w:lineRule="auto"/>
        <w:jc w:val="both"/>
      </w:pPr>
      <w:r>
        <w:rPr>
          <w:b/>
        </w:rPr>
        <w:t xml:space="preserve">10- Mükellefe; mükellef hakkında verilmiş herhangi bir özelge olup olmadığı sorulmuş, mükellef cevaben; “Yoktur.” şeklinde ifade ve beyanda bulunmuştur.</w:t>
      </w:r>
    </w:p>
    <w:p>
      <w:pPr>
        <w:spacing w:before="140" w:after="80" w:line="360" w:lineRule="auto"/>
        <w:jc w:val="both"/>
      </w:pPr>
      <w:r>
        <w:rPr>
          <w:b/>
        </w:rPr>
        <w:t xml:space="preserve">11- Mükellefe incelemeye veya bu tutanakta yer alan hususlara ilişkin başkaca itiraz ve mülahazaları olup olmadığı soruldu; mükellef cevaben; “Yoktur.” şeklinde ifade ve beyanda bulunmuştur.</w:t>
      </w:r>
    </w:p>
    <w:p>
      <w:pPr>
        <w:spacing w:before="180" w:after="120" w:line="360" w:lineRule="auto"/>
        <w:ind w:firstLine="567"/>
        <w:jc w:val="both"/>
      </w:pPr>
      <w:r>
        <w:t xml:space="preserve">Durumu tespit eden bu tutanak 3 (üç) sayfada 2 (iki) örnek düzenlendi, mükellef ile birlikte okundu, içerdiği hususların doğruluğu, defter kayıtlarına, belgelere ve ifadelere uygunluğu anlaşıldıktan sonra birlikte imzalandı ve mühürlendi. Tutanağın imzalı ve mühürlü bir örneği mükellefe verildi. </w:t>
      </w:r>
      <w:r>
        <w:rPr>
          <w:color w:val="C00000"/>
        </w:rPr>
        <w:t xml:space="preserve">[yer]</w:t>
      </w:r>
      <w:r>
        <w:t xml:space="preserve">, </w:t>
      </w:r>
      <w:r>
        <w:rPr>
          <w:color w:val="C00000"/>
        </w:rPr>
        <w:t xml:space="preserve">[tarih]</w:t>
      </w:r>
    </w:p>
    <w:p>
      <w:pPr>
        <w:spacing w:before="0" w:after="0" w:line="360" w:lineRule="auto"/>
        <w:jc w:val="both"/>
      </w:pPr>
      <w:r/>
    </w:p>
    <w:tbl>
      <w:tblPr>
        <w:tblW w:w="96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819"/>
        <w:gridCol w:w="4819"/>
      </w:tblGrid>
      <w:tr>
        <w:trPr>
          <w:tblHeader/>
        </w:trPr>
        <w:tc>
          <w:tcPr>
            <w:tcW w:w="4819" w:type="dxa"/>
            <w:shd w:val="clear" w:color="auto" w:fill="D9D9D9"/>
            <w:vAlign w:val="center"/>
          </w:tcPr>
          <w:p>
            <w:pPr>
              <w:spacing w:before="40" w:after="40" w:line="240" w:lineRule="auto"/>
              <w:jc w:val="center"/>
            </w:pPr>
            <w:r>
              <w:rPr>
                <w:b/>
              </w:rPr>
              <w:t xml:space="preserve">Gelir Uzmanı</w:t>
            </w:r>
          </w:p>
        </w:tc>
        <w:tc>
          <w:tcPr>
            <w:tcW w:w="4819" w:type="dxa"/>
            <w:shd w:val="clear" w:color="auto" w:fill="D9D9D9"/>
            <w:vAlign w:val="center"/>
          </w:tcPr>
          <w:p>
            <w:pPr>
              <w:spacing w:before="40" w:after="40" w:line="240" w:lineRule="auto"/>
              <w:jc w:val="center"/>
            </w:pPr>
            <w:r>
              <w:rPr>
                <w:b/>
              </w:rPr>
              <w:t xml:space="preserve">Mükellef</w:t>
            </w:r>
          </w:p>
        </w:tc>
      </w:tr>
      <w:tr>
        <w:tc>
          <w:tcPr>
            <w:tcW w:w="4819" w:type="dxa"/>
            <w:vAlign w:val="center"/>
          </w:tcPr>
          <w:p>
            <w:pPr>
              <w:spacing w:before="40" w:after="40" w:line="240" w:lineRule="auto"/>
              <w:jc w:val="center"/>
            </w:pPr>
            <w:r>
              <w:br/>
            </w:r>
            <w:r>
              <w:br/>
            </w:r>
          </w:p>
        </w:tc>
        <w:tc>
          <w:tcPr>
            <w:tcW w:w="4819" w:type="dxa"/>
            <w:vAlign w:val="center"/>
          </w:tcPr>
          <w:p>
            <w:pPr>
              <w:spacing w:before="40" w:after="40" w:line="240" w:lineRule="auto"/>
              <w:jc w:val="center"/>
            </w:pPr>
            <w:r>
              <w:br/>
            </w:r>
            <w:r>
              <w:br/>
            </w:r>
          </w:p>
        </w:tc>
      </w:tr>
      <w:tr>
        <w:tc>
          <w:tcPr>
            <w:tcW w:w="4819" w:type="dxa"/>
            <w:vAlign w:val="center"/>
          </w:tcPr>
          <w:p>
            <w:pPr>
              <w:spacing w:before="40" w:after="40" w:line="240" w:lineRule="auto"/>
              <w:jc w:val="center"/>
            </w:pPr>
            <w:r>
              <w:t xml:space="preserve">Hasan AHMET</w:t>
            </w:r>
          </w:p>
        </w:tc>
        <w:tc>
          <w:tcPr>
            <w:tcW w:w="4819" w:type="dxa"/>
            <w:vAlign w:val="center"/>
          </w:tcPr>
          <w:p>
            <w:pPr>
              <w:spacing w:before="40" w:after="40" w:line="240" w:lineRule="auto"/>
              <w:jc w:val="center"/>
            </w:pPr>
            <w:r>
              <w:t xml:space="preserve">Cancan KAR</w:t>
            </w:r>
          </w:p>
        </w:tc>
      </w:tr>
    </w:tbl>
    <w:p>
      <w:pPr>
        <w:spacing w:after="120"/>
      </w:pPr>
    </w:p>
    <w:p>
      <w:pPr>
        <w:spacing w:before="0" w:after="0" w:line="360" w:lineRule="auto"/>
        <w:jc w:val="both"/>
      </w:pPr>
      <w:r/>
    </w:p>
    <w:p>
      <w:pPr>
        <w:spacing w:before="0" w:after="120" w:line="360" w:lineRule="auto"/>
        <w:jc w:val="center"/>
      </w:pPr>
      <w:r>
        <w:rPr>
          <w:i/>
          <w:sz w:val="18"/>
          <w:szCs w:val="18"/>
        </w:rPr>
        <w:t xml:space="preserve">Bu belge 10.08.2026 tarihinde KDV İnceleme Çalışması uygulamasıyla taslak olarak üretilmiştir; imzaya hazır nihai belge değildir.</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tr-TR"/>
      </w:rPr>
    </w:rPrDefault>
    <w:pPrDefault>
      <w:pPr>
        <w:spacing w:after="120" w:line="360" w:lineRule="auto"/>
      </w:pPr>
    </w:pPrDefault>
  </w:docDefaults>
  <w:style w:type="paragraph" w:default="1" w:styleId="Normal">
    <w:name w:val="Normal"/>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