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80" w:line="360" w:lineRule="auto"/>
        <w:jc w:val="center"/>
      </w:pPr>
      <w:r>
        <w:rPr>
          <w:b/>
          <w:sz w:val="28"/>
          <w:szCs w:val="28"/>
        </w:rPr>
        <w:t xml:space="preserve">VERGİ İNCELEME RAPORU</w:t>
      </w:r>
    </w:p>
    <w:p>
      <w:pPr>
        <w:spacing w:before="0" w:after="60" w:line="360" w:lineRule="auto"/>
        <w:jc w:val="center"/>
      </w:pPr>
      <w:r>
        <w:rPr>
          <w:i/>
        </w:rPr>
        <w:t xml:space="preserve">(Sahte Belge Kullanma — Taslak)</w:t>
      </w:r>
    </w:p>
    <w:p>
      <w:pPr>
        <w:spacing w:before="0" w:after="240" w:line="360" w:lineRule="auto"/>
        <w:jc w:val="center"/>
      </w:pPr>
      <w:r>
        <w:t xml:space="preserve">Rapor No: 2025/17          Tarih: 10.08.2026</w:t>
      </w:r>
    </w:p>
    <w:p>
      <w:pPr>
        <w:spacing w:before="240" w:after="180" w:line="360" w:lineRule="auto"/>
        <w:jc w:val="center"/>
      </w:pPr>
      <w:r>
        <w:rPr>
          <w:b/>
          <w:sz w:val="28"/>
          <w:szCs w:val="28"/>
        </w:rPr>
        <w:t xml:space="preserve">I- GİRİŞ</w:t>
      </w:r>
    </w:p>
    <w:p>
      <w:pPr>
        <w:spacing w:before="0" w:after="120" w:line="360" w:lineRule="auto"/>
        <w:ind w:firstLine="567"/>
        <w:jc w:val="both"/>
      </w:pPr>
      <w:r>
        <w:t xml:space="preserve">Ceyhan Vergi Dairesi Müdürlüğünün 1750000000 vergi kimlik numaralı mükellefi EMİR PETROL DAĞITIM LİMİTED ŞİRKETİ (Raporun ilerleyen bölümlerinde mükellef kurum olarak anılacaktır), “Akdeniz Mah. No:84/201 Mersin” adresinde “personel taşımacılığı” faaliyeti ile iştigal etmektedir. Mükellef Kurum Vergi Usul Kanununun 107/A maddesi kapsamında e-tebligata tabidir. Mükellef Kurum e-Defter ve e-Fatura uygulamaları kapsamındadır.</w:t>
      </w:r>
    </w:p>
    <w:p>
      <w:pPr>
        <w:spacing w:before="0" w:after="120" w:line="360" w:lineRule="auto"/>
        <w:ind w:firstLine="567"/>
        <w:jc w:val="both"/>
      </w:pPr>
      <w:r>
        <w:t xml:space="preserve">T.C. Hazine ve Maliye Bakanlığı Vergi Denetim Kurulu Adana Denetim Daire Başkanlığının </w:t>
      </w:r>
      <w:r>
        <w:rPr>
          <w:color w:val="C00000"/>
        </w:rPr>
        <w:t xml:space="preserve">[tarih]</w:t>
      </w:r>
      <w:r>
        <w:t xml:space="preserve"> tarih ve E-22046 sayılı görevlendirme yazısı ile mükellef kurumun 2023 hesap dönemi işlemlerinin “Sahte Belge Kullanma” gerekçesiyle sınırlı olarak incelenmesi istenmiştir.</w:t>
      </w:r>
    </w:p>
    <w:p>
      <w:pPr>
        <w:spacing w:before="0" w:after="120" w:line="360" w:lineRule="auto"/>
        <w:ind w:firstLine="567"/>
        <w:jc w:val="both"/>
      </w:pPr>
      <w:r>
        <w:t xml:space="preserve">İş emri gerekçelerinde; mükellef kurumun 2023 hesap döneminde Dörtkat Vergi Dairesi Müdürlüğünün 2950362893 vergi kimlik numaralı mükellefi CAYAZ SALATALIK TARIM TİC. LTD. ŞTİ.’den ve Dörtyol Vergi Dairesi Müdürlüğünün 2171802681 vergi kimlik numaralı mükellefi MAYAZ DOMATEZ TARIM TİC. LTD. ŞTİ.’den olan alışlarının sahte belge kullanma kapsamında sınırlı olarak incelenmesi gerektiği yer almaktadır.</w:t>
      </w:r>
    </w:p>
    <w:p>
      <w:pPr>
        <w:spacing w:before="0" w:after="120" w:line="360" w:lineRule="auto"/>
        <w:ind w:firstLine="567"/>
        <w:jc w:val="both"/>
      </w:pPr>
      <w:r>
        <w:t xml:space="preserve">Mükellef Kurumun 2023 hesap dönemine ilişkin hesap ve işlemlerinin sınırlı olarak incelenmesi neticesinde Katma Değer Vergisi yönünden tespit ve tenkit edilen hususlar raporun izleyen bölümlerinde açıklanmıştır.</w:t>
      </w:r>
    </w:p>
    <w:p>
      <w:pPr>
        <w:spacing w:before="240" w:after="180" w:line="360" w:lineRule="auto"/>
        <w:jc w:val="center"/>
      </w:pPr>
      <w:r>
        <w:rPr>
          <w:b/>
          <w:sz w:val="28"/>
          <w:szCs w:val="28"/>
        </w:rPr>
        <w:t xml:space="preserve">II- USUL İNCELEMELERİ</w:t>
      </w:r>
    </w:p>
    <w:p>
      <w:pPr>
        <w:spacing w:before="180" w:after="120" w:line="360" w:lineRule="auto"/>
        <w:jc w:val="left"/>
      </w:pPr>
      <w:r>
        <w:rPr>
          <w:b/>
        </w:rPr>
        <w:t xml:space="preserve">A- Genel Usulsüzlük</w:t>
      </w:r>
    </w:p>
    <w:p>
      <w:pPr>
        <w:spacing w:before="0" w:after="120" w:line="360" w:lineRule="auto"/>
        <w:ind w:firstLine="567"/>
        <w:jc w:val="both"/>
      </w:pPr>
      <w:r>
        <w:t xml:space="preserve">Mükellef Kurumun 2023 hesap dönemine ait yasal defterlerinin usulüne uygun şekilde tasdik ettirildiği ve incelemeye ibraz edildiği tespit edilmiştir.</w:t>
      </w:r>
    </w:p>
    <w:p>
      <w:pPr>
        <w:spacing w:before="0" w:after="120" w:line="360" w:lineRule="auto"/>
        <w:ind w:firstLine="567"/>
        <w:jc w:val="both"/>
      </w:pPr>
      <w:r>
        <w:t xml:space="preserve">Raporun IV. bölümünde açıklandığı üzere, sahte olduğu tespit edilen belgelerin defter kayıtlarına ve beyanlara intikal ettirilmiş olması nedeniyle defter kayıtları ve bunlarla ilgili vesikalar, vergi matrahının doğru ve kesin olarak tespitine imkân vermeyecek derecede noksan, usulsüz ve karışıktır. Bu fiil 213 sayılı Vergi Usul Kanunu’nun 352/I-3. maddesinde birinci derece usulsüzlük olarak sayılmış olup, aynı zamanda 30/4. maddesinde re’sen takdir nedeni olarak öngörüldüğünden, 352. madde hükmünce mükellef kurum adına iki kat birinci derece usulsüzlük cezası kesilmesi gerekmektedir.</w:t>
      </w:r>
    </w:p>
    <w:p>
      <w:pPr>
        <w:spacing w:before="0" w:after="120" w:line="360" w:lineRule="auto"/>
        <w:ind w:firstLine="567"/>
        <w:jc w:val="both"/>
      </w:pPr>
      <w:r>
        <w:t xml:space="preserve">Ceza uygulamasında 213 sayılı Vergi Usul Kanunu’nun 336. maddesi hükmünün de dikkate alınması gerekir.</w:t>
      </w:r>
    </w:p>
    <w:p>
      <w:pPr>
        <w:spacing w:before="180" w:after="120" w:line="360" w:lineRule="auto"/>
        <w:jc w:val="left"/>
      </w:pPr>
      <w:r>
        <w:rPr>
          <w:b/>
        </w:rPr>
        <w:t xml:space="preserve">B- Özel Usulsüzlük Cezası</w:t>
      </w:r>
    </w:p>
    <w:p>
      <w:pPr>
        <w:spacing w:before="180" w:after="120" w:line="360" w:lineRule="auto"/>
        <w:jc w:val="left"/>
      </w:pPr>
      <w:r>
        <w:rPr>
          <w:b/>
        </w:rPr>
        <w:t xml:space="preserve">1- 213 Sayılı Vergi Usul Kanunu’nun Mükerrer 355. Maddesine Göre Ödemelerini Tevsik Etmeme Fiili</w:t>
      </w:r>
    </w:p>
    <w:p>
      <w:pPr>
        <w:spacing w:before="0" w:after="120" w:line="360" w:lineRule="auto"/>
        <w:ind w:firstLine="567"/>
        <w:jc w:val="both"/>
      </w:pPr>
      <w:r>
        <w:t xml:space="preserve">Mükellef Kurum, rapora ekli tutanakta ayrıntılı olarak tespitine yer verilen toplam 310.650,80 TL tutarındaki fatura bedellerine ilişkin olarak tevsik haddini aşan ödemelerin banka, benzeri finans kurumları veya posta idarelerince düzenlenen belgelerle yapıldığını tevsik etmemiştir.</w:t>
      </w:r>
    </w:p>
    <w:p>
      <w:pPr>
        <w:spacing w:before="120" w:after="40" w:line="360" w:lineRule="auto"/>
        <w:jc w:val="left"/>
      </w:pPr>
      <w:r>
        <w:rPr>
          <w:b/>
        </w:rPr>
        <w:t xml:space="preserve">213 sayılı VUK mükerrer md. 257 — Yetki</w:t>
      </w:r>
    </w:p>
    <w:p>
      <w:pPr>
        <w:spacing w:before="0" w:after="120" w:line="360" w:lineRule="auto"/>
        <w:ind w:firstLine="567"/>
        <w:jc w:val="both"/>
      </w:pPr>
      <w:r>
        <w:rPr>
          <w:i/>
        </w:rPr>
        <w:t xml:space="preserve">“Maliye Bakanlığı, mükelleflere muameleleri ile ilgili tahsilat ve ödemelerini banka, benzeri finans kurumları veya posta idarelerince düzenlenen belgelerle tevsik etmeleri zorunluluğunu getirmeye ve bu zorunluluğun kapsamını ve uygulamaya ilişkin usul ve esaslarını belirlemeye yetkilidir.”</w:t>
      </w:r>
    </w:p>
    <w:p>
      <w:pPr>
        <w:spacing w:before="120" w:after="40" w:line="360" w:lineRule="auto"/>
        <w:jc w:val="left"/>
      </w:pPr>
      <w:r>
        <w:rPr>
          <w:b/>
        </w:rPr>
        <w:t xml:space="preserve">213 sayılı VUK mükerrer md. 355 — Bilgi Vermekten Çekinenler ile Tevsik Zorunluluğuna Uymayanlara Uygulanacak Ceza</w:t>
      </w:r>
    </w:p>
    <w:p>
      <w:pPr>
        <w:spacing w:before="0" w:after="120" w:line="360" w:lineRule="auto"/>
        <w:ind w:firstLine="567"/>
        <w:jc w:val="both"/>
      </w:pPr>
      <w:r>
        <w:rPr>
          <w:i/>
        </w:rPr>
        <w:t xml:space="preserve">“Tahsilat ve ödemelerini banka, benzeri finans kurumları veya posta idarelerince düzenlenen belgelerle tevsik etme zorunluluğuna uymayan mükelleflerden her birine, her bir işlem için bu maddeye göre uygulanan cezalardan az olmamak üzere işleme konu tutarın %5'i nispetinde özel usulsüzlük cezası kesilir. Bu şekilde ceza kesilen mükellefler hakkında bir takvim yılı içinde kesilecek toplam ceza ilgili yıl için belirlenen üst sınırı aşamaz.”</w:t>
      </w:r>
    </w:p>
    <w:p>
      <w:pPr>
        <w:spacing w:before="0" w:after="120" w:line="360" w:lineRule="auto"/>
        <w:ind w:firstLine="567"/>
        <w:jc w:val="both"/>
      </w:pPr>
      <w:r>
        <w:t xml:space="preserve">Maliye Bakanlığı, 213 sayılı Vergi Usul Kanunu’nun mükerrer 257. maddesinden aldığı yetkiyle çıkardığı 320, 323, 324, 332, 459, 479 ve 480 sıra numaralı Genel Tebliğler ile tahsilat ve ödemelerin banka veya benzeri finans kurumlarınca düzenlenen belgelerle tevsik edilmesi zorunluluğunu getirmiştir. 459 sıra numaralı Genel Tebliğ ile tevsik haddi 01.01.2016 tarihinden itibaren 7.000,00 TL olarak belirlenmiştir.</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95"/>
        <w:gridCol w:w="991"/>
        <w:gridCol w:w="1211"/>
        <w:gridCol w:w="1101"/>
        <w:gridCol w:w="991"/>
        <w:gridCol w:w="1321"/>
        <w:gridCol w:w="1211"/>
        <w:gridCol w:w="1101"/>
        <w:gridCol w:w="1216"/>
      </w:tblGrid>
      <w:tr>
        <w:trPr>
          <w:tblHeader/>
        </w:trPr>
        <w:tc>
          <w:tcPr>
            <w:tcW w:w="495" w:type="dxa"/>
            <w:shd w:val="clear" w:color="auto" w:fill="D9D9D9"/>
            <w:vAlign w:val="center"/>
          </w:tcPr>
          <w:p>
            <w:pPr>
              <w:spacing w:before="40" w:after="40" w:line="240" w:lineRule="auto"/>
              <w:jc w:val="center"/>
            </w:pPr>
            <w:r>
              <w:rPr>
                <w:b/>
                <w:sz w:val="18"/>
                <w:szCs w:val="18"/>
              </w:rPr>
              <w:t xml:space="preserve">Sıra</w:t>
            </w:r>
            <w:r>
              <w:rPr>
                <w:b/>
                <w:sz w:val="18"/>
                <w:szCs w:val="18"/>
              </w:rPr>
              <w:br/>
            </w:r>
            <w:r>
              <w:rPr>
                <w:b/>
                <w:sz w:val="18"/>
                <w:szCs w:val="18"/>
              </w:rPr>
              <w:t xml:space="preserve">No</w:t>
            </w:r>
          </w:p>
        </w:tc>
        <w:tc>
          <w:tcPr>
            <w:tcW w:w="991" w:type="dxa"/>
            <w:shd w:val="clear" w:color="auto" w:fill="D9D9D9"/>
            <w:vAlign w:val="center"/>
          </w:tcPr>
          <w:p>
            <w:pPr>
              <w:spacing w:before="40" w:after="40" w:line="240" w:lineRule="auto"/>
              <w:jc w:val="center"/>
            </w:pPr>
            <w:r>
              <w:rPr>
                <w:b/>
                <w:sz w:val="18"/>
                <w:szCs w:val="18"/>
              </w:rPr>
              <w:t xml:space="preserve">Fatura Tarihi</w:t>
            </w:r>
          </w:p>
        </w:tc>
        <w:tc>
          <w:tcPr>
            <w:tcW w:w="1211" w:type="dxa"/>
            <w:shd w:val="clear" w:color="auto" w:fill="D9D9D9"/>
            <w:vAlign w:val="center"/>
          </w:tcPr>
          <w:p>
            <w:pPr>
              <w:spacing w:before="40" w:after="40" w:line="240" w:lineRule="auto"/>
              <w:jc w:val="left"/>
            </w:pPr>
            <w:r>
              <w:rPr>
                <w:b/>
                <w:sz w:val="18"/>
                <w:szCs w:val="18"/>
              </w:rPr>
              <w:t xml:space="preserve">Fatura No</w:t>
            </w:r>
          </w:p>
        </w:tc>
        <w:tc>
          <w:tcPr>
            <w:tcW w:w="1101" w:type="dxa"/>
            <w:shd w:val="clear" w:color="auto" w:fill="D9D9D9"/>
            <w:vAlign w:val="center"/>
          </w:tcPr>
          <w:p>
            <w:pPr>
              <w:spacing w:before="40" w:after="40" w:line="240" w:lineRule="auto"/>
              <w:jc w:val="right"/>
            </w:pPr>
            <w:r>
              <w:rPr>
                <w:b/>
                <w:sz w:val="18"/>
                <w:szCs w:val="18"/>
              </w:rPr>
              <w:t xml:space="preserve">Tutar</w:t>
            </w:r>
          </w:p>
        </w:tc>
        <w:tc>
          <w:tcPr>
            <w:tcW w:w="991" w:type="dxa"/>
            <w:shd w:val="clear" w:color="auto" w:fill="D9D9D9"/>
            <w:vAlign w:val="center"/>
          </w:tcPr>
          <w:p>
            <w:pPr>
              <w:spacing w:before="40" w:after="40" w:line="240" w:lineRule="auto"/>
              <w:jc w:val="right"/>
            </w:pPr>
            <w:r>
              <w:rPr>
                <w:b/>
                <w:sz w:val="18"/>
                <w:szCs w:val="18"/>
              </w:rPr>
              <w:t xml:space="preserve">KDV</w:t>
            </w:r>
          </w:p>
        </w:tc>
        <w:tc>
          <w:tcPr>
            <w:tcW w:w="1321" w:type="dxa"/>
            <w:shd w:val="clear" w:color="auto" w:fill="D9D9D9"/>
            <w:vAlign w:val="center"/>
          </w:tcPr>
          <w:p>
            <w:pPr>
              <w:spacing w:before="40" w:after="40" w:line="240" w:lineRule="auto"/>
              <w:jc w:val="right"/>
            </w:pPr>
            <w:r>
              <w:rPr>
                <w:b/>
                <w:sz w:val="18"/>
                <w:szCs w:val="18"/>
              </w:rPr>
              <w:t xml:space="preserve">Ödeme veya Tahsilatın</w:t>
            </w:r>
            <w:r>
              <w:rPr>
                <w:b/>
                <w:sz w:val="18"/>
                <w:szCs w:val="18"/>
              </w:rPr>
              <w:br/>
            </w:r>
            <w:r>
              <w:rPr>
                <w:b/>
                <w:sz w:val="18"/>
                <w:szCs w:val="18"/>
              </w:rPr>
              <w:t xml:space="preserve">Toplam Tutarı</w:t>
            </w:r>
          </w:p>
        </w:tc>
        <w:tc>
          <w:tcPr>
            <w:tcW w:w="1211" w:type="dxa"/>
            <w:shd w:val="clear" w:color="auto" w:fill="D9D9D9"/>
            <w:vAlign w:val="center"/>
          </w:tcPr>
          <w:p>
            <w:pPr>
              <w:spacing w:before="40" w:after="40" w:line="240" w:lineRule="auto"/>
              <w:jc w:val="right"/>
            </w:pPr>
            <w:r>
              <w:rPr>
                <w:b/>
                <w:sz w:val="18"/>
                <w:szCs w:val="18"/>
              </w:rPr>
              <w:t xml:space="preserve">Ödeme veya</w:t>
            </w:r>
            <w:r>
              <w:rPr>
                <w:b/>
                <w:sz w:val="18"/>
                <w:szCs w:val="18"/>
              </w:rPr>
              <w:br/>
            </w:r>
            <w:r>
              <w:rPr>
                <w:b/>
                <w:sz w:val="18"/>
                <w:szCs w:val="18"/>
              </w:rPr>
              <w:t xml:space="preserve">Tahsilatın %5’i</w:t>
            </w:r>
          </w:p>
        </w:tc>
        <w:tc>
          <w:tcPr>
            <w:tcW w:w="1101" w:type="dxa"/>
            <w:shd w:val="clear" w:color="auto" w:fill="D9D9D9"/>
            <w:vAlign w:val="center"/>
          </w:tcPr>
          <w:p>
            <w:pPr>
              <w:spacing w:before="40" w:after="40" w:line="240" w:lineRule="auto"/>
              <w:jc w:val="right"/>
            </w:pPr>
            <w:r>
              <w:rPr>
                <w:b/>
                <w:sz w:val="18"/>
                <w:szCs w:val="18"/>
              </w:rPr>
              <w:t xml:space="preserve">En Az Ceza</w:t>
            </w:r>
            <w:r>
              <w:rPr>
                <w:b/>
                <w:sz w:val="18"/>
                <w:szCs w:val="18"/>
              </w:rPr>
              <w:br/>
            </w:r>
            <w:r>
              <w:rPr>
                <w:b/>
                <w:sz w:val="18"/>
                <w:szCs w:val="18"/>
              </w:rPr>
              <w:t xml:space="preserve">Haddi</w:t>
            </w:r>
          </w:p>
        </w:tc>
        <w:tc>
          <w:tcPr>
            <w:tcW w:w="1216" w:type="dxa"/>
            <w:shd w:val="clear" w:color="auto" w:fill="D9D9D9"/>
            <w:vAlign w:val="center"/>
          </w:tcPr>
          <w:p>
            <w:pPr>
              <w:spacing w:before="40" w:after="40" w:line="240" w:lineRule="auto"/>
              <w:jc w:val="right"/>
            </w:pPr>
            <w:r>
              <w:rPr>
                <w:b/>
                <w:sz w:val="18"/>
                <w:szCs w:val="18"/>
              </w:rPr>
              <w:t xml:space="preserve">Kesilecek Ceza</w:t>
            </w:r>
            <w:r>
              <w:rPr>
                <w:b/>
                <w:sz w:val="18"/>
                <w:szCs w:val="18"/>
              </w:rPr>
              <w:br/>
            </w:r>
            <w:r>
              <w:rPr>
                <w:b/>
                <w:sz w:val="18"/>
                <w:szCs w:val="18"/>
              </w:rPr>
              <w:t xml:space="preserve">Tutarı</w:t>
            </w:r>
          </w:p>
        </w:tc>
      </w:tr>
      <w:tr>
        <w:tc>
          <w:tcPr>
            <w:tcW w:w="495" w:type="dxa"/>
            <w:vAlign w:val="center"/>
          </w:tcPr>
          <w:p>
            <w:pPr>
              <w:spacing w:before="40" w:after="40" w:line="240" w:lineRule="auto"/>
              <w:jc w:val="center"/>
            </w:pPr>
            <w:r>
              <w:rPr>
                <w:sz w:val="18"/>
                <w:szCs w:val="18"/>
              </w:rPr>
              <w:t xml:space="preserve">1</w:t>
            </w:r>
          </w:p>
        </w:tc>
        <w:tc>
          <w:tcPr>
            <w:tcW w:w="991" w:type="dxa"/>
            <w:vAlign w:val="center"/>
          </w:tcPr>
          <w:p>
            <w:pPr>
              <w:spacing w:before="40" w:after="40" w:line="240" w:lineRule="auto"/>
              <w:jc w:val="center"/>
            </w:pPr>
            <w:r>
              <w:rPr>
                <w:sz w:val="18"/>
                <w:szCs w:val="18"/>
              </w:rPr>
              <w:t xml:space="preserve">2023-03-05</w:t>
            </w:r>
          </w:p>
        </w:tc>
        <w:tc>
          <w:tcPr>
            <w:tcW w:w="1211" w:type="dxa"/>
            <w:vAlign w:val="center"/>
          </w:tcPr>
          <w:p>
            <w:pPr>
              <w:spacing w:before="40" w:after="40" w:line="240" w:lineRule="auto"/>
              <w:jc w:val="left"/>
            </w:pPr>
            <w:r>
              <w:rPr>
                <w:sz w:val="18"/>
                <w:szCs w:val="18"/>
              </w:rPr>
              <w:t xml:space="preserve">GIB-196</w:t>
            </w:r>
          </w:p>
        </w:tc>
        <w:tc>
          <w:tcPr>
            <w:tcW w:w="1101" w:type="dxa"/>
            <w:vAlign w:val="center"/>
          </w:tcPr>
          <w:p>
            <w:pPr>
              <w:spacing w:before="40" w:after="40" w:line="240" w:lineRule="auto"/>
              <w:jc w:val="right"/>
            </w:pPr>
            <w:r>
              <w:rPr>
                <w:sz w:val="18"/>
                <w:szCs w:val="18"/>
              </w:rPr>
              <w:t xml:space="preserve">18.096,00</w:t>
            </w:r>
          </w:p>
        </w:tc>
        <w:tc>
          <w:tcPr>
            <w:tcW w:w="991" w:type="dxa"/>
            <w:vAlign w:val="center"/>
          </w:tcPr>
          <w:p>
            <w:pPr>
              <w:spacing w:before="40" w:after="40" w:line="240" w:lineRule="auto"/>
              <w:jc w:val="right"/>
            </w:pPr>
            <w:r>
              <w:rPr>
                <w:sz w:val="18"/>
                <w:szCs w:val="18"/>
              </w:rPr>
              <w:t xml:space="preserve">3.619,20</w:t>
            </w:r>
          </w:p>
        </w:tc>
        <w:tc>
          <w:tcPr>
            <w:tcW w:w="1321" w:type="dxa"/>
            <w:vAlign w:val="center"/>
          </w:tcPr>
          <w:p>
            <w:pPr>
              <w:spacing w:before="40" w:after="40" w:line="240" w:lineRule="auto"/>
              <w:jc w:val="right"/>
            </w:pPr>
            <w:r>
              <w:rPr>
                <w:sz w:val="18"/>
                <w:szCs w:val="18"/>
              </w:rPr>
              <w:t xml:space="preserve">21.715,20</w:t>
            </w:r>
          </w:p>
        </w:tc>
        <w:tc>
          <w:tcPr>
            <w:tcW w:w="1211" w:type="dxa"/>
            <w:vAlign w:val="center"/>
          </w:tcPr>
          <w:p>
            <w:pPr>
              <w:spacing w:before="40" w:after="40" w:line="240" w:lineRule="auto"/>
              <w:jc w:val="right"/>
            </w:pPr>
            <w:r>
              <w:rPr>
                <w:sz w:val="18"/>
                <w:szCs w:val="18"/>
              </w:rPr>
              <w:t xml:space="preserve">1.085,76</w:t>
            </w:r>
          </w:p>
        </w:tc>
        <w:tc>
          <w:tcPr>
            <w:tcW w:w="1101" w:type="dxa"/>
            <w:vAlign w:val="center"/>
          </w:tcPr>
          <w:p>
            <w:pPr>
              <w:spacing w:before="40" w:after="40" w:line="240" w:lineRule="auto"/>
              <w:jc w:val="right"/>
            </w:pPr>
            <w:r>
              <w:rPr>
                <w:sz w:val="18"/>
                <w:szCs w:val="18"/>
              </w:rPr>
              <w:t xml:space="preserve">7.500,00</w:t>
            </w:r>
          </w:p>
        </w:tc>
        <w:tc>
          <w:tcPr>
            <w:tcW w:w="1216" w:type="dxa"/>
            <w:vAlign w:val="center"/>
          </w:tcPr>
          <w:p>
            <w:pPr>
              <w:spacing w:before="40" w:after="40" w:line="240" w:lineRule="auto"/>
              <w:jc w:val="right"/>
            </w:pPr>
            <w:r>
              <w:rPr>
                <w:sz w:val="18"/>
                <w:szCs w:val="18"/>
              </w:rPr>
              <w:t xml:space="preserve">7.500,00</w:t>
            </w:r>
          </w:p>
        </w:tc>
      </w:tr>
      <w:tr>
        <w:tc>
          <w:tcPr>
            <w:tcW w:w="495" w:type="dxa"/>
            <w:vAlign w:val="center"/>
          </w:tcPr>
          <w:p>
            <w:pPr>
              <w:spacing w:before="40" w:after="40" w:line="240" w:lineRule="auto"/>
              <w:jc w:val="center"/>
            </w:pPr>
            <w:r>
              <w:rPr>
                <w:sz w:val="18"/>
                <w:szCs w:val="18"/>
              </w:rPr>
              <w:t xml:space="preserve">2</w:t>
            </w:r>
          </w:p>
        </w:tc>
        <w:tc>
          <w:tcPr>
            <w:tcW w:w="991" w:type="dxa"/>
            <w:vAlign w:val="center"/>
          </w:tcPr>
          <w:p>
            <w:pPr>
              <w:spacing w:before="40" w:after="40" w:line="240" w:lineRule="auto"/>
              <w:jc w:val="center"/>
            </w:pPr>
            <w:r>
              <w:rPr>
                <w:sz w:val="18"/>
                <w:szCs w:val="18"/>
              </w:rPr>
              <w:t xml:space="preserve">2023-06-05</w:t>
            </w:r>
          </w:p>
        </w:tc>
        <w:tc>
          <w:tcPr>
            <w:tcW w:w="1211" w:type="dxa"/>
            <w:vAlign w:val="center"/>
          </w:tcPr>
          <w:p>
            <w:pPr>
              <w:spacing w:before="40" w:after="40" w:line="240" w:lineRule="auto"/>
              <w:jc w:val="left"/>
            </w:pPr>
            <w:r>
              <w:rPr>
                <w:sz w:val="18"/>
                <w:szCs w:val="18"/>
              </w:rPr>
              <w:t xml:space="preserve">MAY-01</w:t>
            </w:r>
          </w:p>
        </w:tc>
        <w:tc>
          <w:tcPr>
            <w:tcW w:w="1101" w:type="dxa"/>
            <w:vAlign w:val="center"/>
          </w:tcPr>
          <w:p>
            <w:pPr>
              <w:spacing w:before="40" w:after="40" w:line="240" w:lineRule="auto"/>
              <w:jc w:val="right"/>
            </w:pPr>
            <w:r>
              <w:rPr>
                <w:sz w:val="18"/>
                <w:szCs w:val="18"/>
              </w:rPr>
              <w:t xml:space="preserve">240.779,67</w:t>
            </w:r>
          </w:p>
        </w:tc>
        <w:tc>
          <w:tcPr>
            <w:tcW w:w="991" w:type="dxa"/>
            <w:vAlign w:val="center"/>
          </w:tcPr>
          <w:p>
            <w:pPr>
              <w:spacing w:before="40" w:after="40" w:line="240" w:lineRule="auto"/>
              <w:jc w:val="right"/>
            </w:pPr>
            <w:r>
              <w:rPr>
                <w:sz w:val="18"/>
                <w:szCs w:val="18"/>
              </w:rPr>
              <w:t xml:space="preserve">48.155,93</w:t>
            </w:r>
          </w:p>
        </w:tc>
        <w:tc>
          <w:tcPr>
            <w:tcW w:w="1321" w:type="dxa"/>
            <w:vAlign w:val="center"/>
          </w:tcPr>
          <w:p>
            <w:pPr>
              <w:spacing w:before="40" w:after="40" w:line="240" w:lineRule="auto"/>
              <w:jc w:val="right"/>
            </w:pPr>
            <w:r>
              <w:rPr>
                <w:sz w:val="18"/>
                <w:szCs w:val="18"/>
              </w:rPr>
              <w:t xml:space="preserve">288.935,60</w:t>
            </w:r>
          </w:p>
        </w:tc>
        <w:tc>
          <w:tcPr>
            <w:tcW w:w="1211" w:type="dxa"/>
            <w:vAlign w:val="center"/>
          </w:tcPr>
          <w:p>
            <w:pPr>
              <w:spacing w:before="40" w:after="40" w:line="240" w:lineRule="auto"/>
              <w:jc w:val="right"/>
            </w:pPr>
            <w:r>
              <w:rPr>
                <w:sz w:val="18"/>
                <w:szCs w:val="18"/>
              </w:rPr>
              <w:t xml:space="preserve">14.446,78</w:t>
            </w:r>
          </w:p>
        </w:tc>
        <w:tc>
          <w:tcPr>
            <w:tcW w:w="1101" w:type="dxa"/>
            <w:vAlign w:val="center"/>
          </w:tcPr>
          <w:p>
            <w:pPr>
              <w:spacing w:before="40" w:after="40" w:line="240" w:lineRule="auto"/>
              <w:jc w:val="right"/>
            </w:pPr>
            <w:r>
              <w:rPr>
                <w:sz w:val="18"/>
                <w:szCs w:val="18"/>
              </w:rPr>
              <w:t xml:space="preserve">7.500,00</w:t>
            </w:r>
          </w:p>
        </w:tc>
        <w:tc>
          <w:tcPr>
            <w:tcW w:w="1216" w:type="dxa"/>
            <w:vAlign w:val="center"/>
          </w:tcPr>
          <w:p>
            <w:pPr>
              <w:spacing w:before="40" w:after="40" w:line="240" w:lineRule="auto"/>
              <w:jc w:val="right"/>
            </w:pPr>
            <w:r>
              <w:rPr>
                <w:sz w:val="18"/>
                <w:szCs w:val="18"/>
              </w:rPr>
              <w:t xml:space="preserve">14.446,78</w:t>
            </w:r>
          </w:p>
        </w:tc>
      </w:tr>
      <w:tr>
        <w:tc>
          <w:tcPr>
            <w:tcW w:w="495" w:type="dxa"/>
            <w:shd w:val="clear" w:color="auto" w:fill="EDEDED"/>
            <w:vAlign w:val="center"/>
          </w:tcPr>
          <w:p>
            <w:pPr>
              <w:spacing w:before="40" w:after="40" w:line="240" w:lineRule="auto"/>
              <w:jc w:val="center"/>
            </w:pPr>
            <w:r>
              <w:rPr>
                <w:b/>
                <w:sz w:val="18"/>
                <w:szCs w:val="18"/>
              </w:rPr>
            </w:r>
          </w:p>
        </w:tc>
        <w:tc>
          <w:tcPr>
            <w:tcW w:w="991" w:type="dxa"/>
            <w:shd w:val="clear" w:color="auto" w:fill="EDEDED"/>
            <w:vAlign w:val="center"/>
          </w:tcPr>
          <w:p>
            <w:pPr>
              <w:spacing w:before="40" w:after="40" w:line="240" w:lineRule="auto"/>
              <w:jc w:val="center"/>
            </w:pPr>
            <w:r>
              <w:rPr>
                <w:b/>
                <w:sz w:val="18"/>
                <w:szCs w:val="18"/>
              </w:rPr>
            </w:r>
          </w:p>
        </w:tc>
        <w:tc>
          <w:tcPr>
            <w:tcW w:w="1211" w:type="dxa"/>
            <w:shd w:val="clear" w:color="auto" w:fill="EDEDED"/>
            <w:vAlign w:val="center"/>
          </w:tcPr>
          <w:p>
            <w:pPr>
              <w:spacing w:before="40" w:after="40" w:line="240" w:lineRule="auto"/>
              <w:jc w:val="left"/>
            </w:pPr>
            <w:r>
              <w:rPr>
                <w:b/>
                <w:sz w:val="18"/>
                <w:szCs w:val="18"/>
              </w:rPr>
              <w:t xml:space="preserve">TOPLAM</w:t>
            </w:r>
          </w:p>
        </w:tc>
        <w:tc>
          <w:tcPr>
            <w:tcW w:w="1101" w:type="dxa"/>
            <w:shd w:val="clear" w:color="auto" w:fill="EDEDED"/>
            <w:vAlign w:val="center"/>
          </w:tcPr>
          <w:p>
            <w:pPr>
              <w:spacing w:before="40" w:after="40" w:line="240" w:lineRule="auto"/>
              <w:jc w:val="right"/>
            </w:pPr>
            <w:r>
              <w:rPr>
                <w:b/>
                <w:sz w:val="18"/>
                <w:szCs w:val="18"/>
              </w:rPr>
            </w:r>
          </w:p>
        </w:tc>
        <w:tc>
          <w:tcPr>
            <w:tcW w:w="991" w:type="dxa"/>
            <w:shd w:val="clear" w:color="auto" w:fill="EDEDED"/>
            <w:vAlign w:val="center"/>
          </w:tcPr>
          <w:p>
            <w:pPr>
              <w:spacing w:before="40" w:after="40" w:line="240" w:lineRule="auto"/>
              <w:jc w:val="right"/>
            </w:pPr>
            <w:r>
              <w:rPr>
                <w:b/>
                <w:sz w:val="18"/>
                <w:szCs w:val="18"/>
              </w:rPr>
            </w:r>
          </w:p>
        </w:tc>
        <w:tc>
          <w:tcPr>
            <w:tcW w:w="1321" w:type="dxa"/>
            <w:shd w:val="clear" w:color="auto" w:fill="EDEDED"/>
            <w:vAlign w:val="center"/>
          </w:tcPr>
          <w:p>
            <w:pPr>
              <w:spacing w:before="40" w:after="40" w:line="240" w:lineRule="auto"/>
              <w:jc w:val="right"/>
            </w:pPr>
            <w:r>
              <w:rPr>
                <w:b/>
                <w:sz w:val="18"/>
                <w:szCs w:val="18"/>
              </w:rPr>
              <w:t xml:space="preserve">310.650,80</w:t>
            </w:r>
          </w:p>
        </w:tc>
        <w:tc>
          <w:tcPr>
            <w:tcW w:w="1211" w:type="dxa"/>
            <w:shd w:val="clear" w:color="auto" w:fill="EDEDED"/>
            <w:vAlign w:val="center"/>
          </w:tcPr>
          <w:p>
            <w:pPr>
              <w:spacing w:before="40" w:after="40" w:line="240" w:lineRule="auto"/>
              <w:jc w:val="right"/>
            </w:pPr>
            <w:r>
              <w:rPr>
                <w:b/>
                <w:sz w:val="18"/>
                <w:szCs w:val="18"/>
              </w:rPr>
            </w:r>
          </w:p>
        </w:tc>
        <w:tc>
          <w:tcPr>
            <w:tcW w:w="1101" w:type="dxa"/>
            <w:shd w:val="clear" w:color="auto" w:fill="EDEDED"/>
            <w:vAlign w:val="center"/>
          </w:tcPr>
          <w:p>
            <w:pPr>
              <w:spacing w:before="40" w:after="40" w:line="240" w:lineRule="auto"/>
              <w:jc w:val="right"/>
            </w:pPr>
            <w:r>
              <w:rPr>
                <w:b/>
                <w:sz w:val="18"/>
                <w:szCs w:val="18"/>
              </w:rPr>
            </w:r>
          </w:p>
        </w:tc>
        <w:tc>
          <w:tcPr>
            <w:tcW w:w="1216" w:type="dxa"/>
            <w:shd w:val="clear" w:color="auto" w:fill="EDEDED"/>
            <w:vAlign w:val="center"/>
          </w:tcPr>
          <w:p>
            <w:pPr>
              <w:spacing w:before="40" w:after="40" w:line="240" w:lineRule="auto"/>
              <w:jc w:val="right"/>
            </w:pPr>
            <w:r>
              <w:rPr>
                <w:b/>
                <w:sz w:val="18"/>
                <w:szCs w:val="18"/>
              </w:rPr>
              <w:t xml:space="preserve">21.946,78</w:t>
            </w:r>
          </w:p>
        </w:tc>
      </w:tr>
    </w:tbl>
    <w:p>
      <w:pPr>
        <w:spacing w:after="120"/>
      </w:pPr>
    </w:p>
    <w:p>
      <w:pPr>
        <w:spacing w:before="0" w:after="120" w:line="360" w:lineRule="auto"/>
        <w:ind w:firstLine="567"/>
        <w:jc w:val="both"/>
      </w:pPr>
      <w:r>
        <w:t xml:space="preserve">2023 hesap döneminde yukarıdaki tabloda gösterilen ve tevsik zorunluluğuna uyulmayan 2 işlem nedeniyle, 213 sayılı Vergi Usul Kanunu’nun mükerrer 355. maddesi uyarınca toplam 21.946,78 TL özel usulsüzlük cezası kesilmesi gerekmektedir.</w:t>
      </w:r>
    </w:p>
    <w:p>
      <w:pPr>
        <w:spacing w:before="240" w:after="180" w:line="360" w:lineRule="auto"/>
        <w:jc w:val="center"/>
      </w:pPr>
      <w:r>
        <w:rPr>
          <w:b/>
          <w:sz w:val="28"/>
          <w:szCs w:val="28"/>
        </w:rPr>
        <w:t xml:space="preserve">III- HESAP İNCELEMELERİ</w:t>
      </w:r>
    </w:p>
    <w:p>
      <w:pPr>
        <w:spacing w:before="0" w:after="120" w:line="360" w:lineRule="auto"/>
        <w:ind w:firstLine="567"/>
        <w:jc w:val="both"/>
      </w:pPr>
      <w:r>
        <w:t xml:space="preserve">Mükellef Kurumun 2023 hesap dönemine ilişkin katma değer vergisi beyanlarının özet bilgileri aşağıdaki gibidir.</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64"/>
        <w:gridCol w:w="1224"/>
        <w:gridCol w:w="1224"/>
        <w:gridCol w:w="1224"/>
        <w:gridCol w:w="1224"/>
        <w:gridCol w:w="1224"/>
        <w:gridCol w:w="1224"/>
        <w:gridCol w:w="1230"/>
      </w:tblGrid>
      <w:tr>
        <w:trPr>
          <w:tblHeader/>
        </w:trPr>
        <w:tc>
          <w:tcPr>
            <w:tcW w:w="1064" w:type="dxa"/>
            <w:shd w:val="clear" w:color="auto" w:fill="D9D9D9"/>
            <w:vAlign w:val="center"/>
          </w:tcPr>
          <w:p>
            <w:pPr>
              <w:spacing w:before="40" w:after="40" w:line="240" w:lineRule="auto"/>
              <w:jc w:val="left"/>
            </w:pPr>
            <w:r>
              <w:rPr>
                <w:b/>
                <w:sz w:val="18"/>
                <w:szCs w:val="18"/>
              </w:rPr>
              <w:t xml:space="preserve">Dönemi</w:t>
            </w:r>
            <w:r>
              <w:rPr>
                <w:b/>
                <w:sz w:val="18"/>
                <w:szCs w:val="18"/>
              </w:rPr>
              <w:br/>
            </w:r>
            <w:r>
              <w:rPr>
                <w:b/>
                <w:sz w:val="18"/>
                <w:szCs w:val="18"/>
              </w:rPr>
              <w:t xml:space="preserve">2023</w:t>
            </w:r>
          </w:p>
        </w:tc>
        <w:tc>
          <w:tcPr>
            <w:tcW w:w="1224" w:type="dxa"/>
            <w:shd w:val="clear" w:color="auto" w:fill="D9D9D9"/>
            <w:vAlign w:val="center"/>
          </w:tcPr>
          <w:p>
            <w:pPr>
              <w:spacing w:before="40" w:after="40" w:line="240" w:lineRule="auto"/>
              <w:jc w:val="right"/>
            </w:pPr>
            <w:r>
              <w:rPr>
                <w:b/>
                <w:sz w:val="18"/>
                <w:szCs w:val="18"/>
              </w:rPr>
              <w:t xml:space="preserve">KDV Matrahı</w:t>
            </w:r>
          </w:p>
        </w:tc>
        <w:tc>
          <w:tcPr>
            <w:tcW w:w="1224" w:type="dxa"/>
            <w:shd w:val="clear" w:color="auto" w:fill="D9D9D9"/>
            <w:vAlign w:val="center"/>
          </w:tcPr>
          <w:p>
            <w:pPr>
              <w:spacing w:before="40" w:after="40" w:line="240" w:lineRule="auto"/>
              <w:jc w:val="right"/>
            </w:pPr>
            <w:r>
              <w:rPr>
                <w:b/>
                <w:sz w:val="18"/>
                <w:szCs w:val="18"/>
              </w:rPr>
              <w:t xml:space="preserve">Hspl. KDV</w:t>
            </w:r>
          </w:p>
        </w:tc>
        <w:tc>
          <w:tcPr>
            <w:tcW w:w="1224" w:type="dxa"/>
            <w:shd w:val="clear" w:color="auto" w:fill="D9D9D9"/>
            <w:vAlign w:val="center"/>
          </w:tcPr>
          <w:p>
            <w:pPr>
              <w:spacing w:before="40" w:after="40" w:line="240" w:lineRule="auto"/>
              <w:jc w:val="right"/>
            </w:pPr>
            <w:r>
              <w:rPr>
                <w:b/>
                <w:sz w:val="18"/>
                <w:szCs w:val="18"/>
              </w:rPr>
              <w:t xml:space="preserve">Önc. Dön. Dev. KDV</w:t>
            </w:r>
          </w:p>
        </w:tc>
        <w:tc>
          <w:tcPr>
            <w:tcW w:w="1224" w:type="dxa"/>
            <w:shd w:val="clear" w:color="auto" w:fill="D9D9D9"/>
            <w:vAlign w:val="center"/>
          </w:tcPr>
          <w:p>
            <w:pPr>
              <w:spacing w:before="40" w:after="40" w:line="240" w:lineRule="auto"/>
              <w:jc w:val="right"/>
            </w:pPr>
            <w:r>
              <w:rPr>
                <w:b/>
                <w:sz w:val="18"/>
                <w:szCs w:val="18"/>
              </w:rPr>
              <w:t xml:space="preserve">Bu Dön. İndl. KDV</w:t>
            </w:r>
          </w:p>
        </w:tc>
        <w:tc>
          <w:tcPr>
            <w:tcW w:w="1224" w:type="dxa"/>
            <w:shd w:val="clear" w:color="auto" w:fill="D9D9D9"/>
            <w:vAlign w:val="center"/>
          </w:tcPr>
          <w:p>
            <w:pPr>
              <w:spacing w:before="40" w:after="40" w:line="240" w:lineRule="auto"/>
              <w:jc w:val="right"/>
            </w:pPr>
            <w:r>
              <w:rPr>
                <w:b/>
                <w:sz w:val="18"/>
                <w:szCs w:val="18"/>
              </w:rPr>
              <w:t xml:space="preserve">İndirimler Toplamı</w:t>
            </w:r>
          </w:p>
        </w:tc>
        <w:tc>
          <w:tcPr>
            <w:tcW w:w="1224" w:type="dxa"/>
            <w:shd w:val="clear" w:color="auto" w:fill="D9D9D9"/>
            <w:vAlign w:val="center"/>
          </w:tcPr>
          <w:p>
            <w:pPr>
              <w:spacing w:before="40" w:after="40" w:line="240" w:lineRule="auto"/>
              <w:jc w:val="right"/>
            </w:pPr>
            <w:r>
              <w:rPr>
                <w:b/>
                <w:sz w:val="18"/>
                <w:szCs w:val="18"/>
              </w:rPr>
              <w:t xml:space="preserve">Ödenecek KDV</w:t>
            </w:r>
          </w:p>
        </w:tc>
        <w:tc>
          <w:tcPr>
            <w:tcW w:w="1230" w:type="dxa"/>
            <w:shd w:val="clear" w:color="auto" w:fill="D9D9D9"/>
            <w:vAlign w:val="center"/>
          </w:tcPr>
          <w:p>
            <w:pPr>
              <w:spacing w:before="40" w:after="40" w:line="240" w:lineRule="auto"/>
              <w:jc w:val="right"/>
            </w:pPr>
            <w:r>
              <w:rPr>
                <w:b/>
                <w:sz w:val="18"/>
                <w:szCs w:val="18"/>
              </w:rPr>
              <w:t xml:space="preserve">Son. Dön. Dev. KDV</w:t>
            </w:r>
          </w:p>
        </w:tc>
      </w:tr>
      <w:tr>
        <w:tc>
          <w:tcPr>
            <w:tcW w:w="1064" w:type="dxa"/>
            <w:vAlign w:val="center"/>
          </w:tcPr>
          <w:p>
            <w:pPr>
              <w:spacing w:before="40" w:after="40" w:line="240" w:lineRule="auto"/>
              <w:jc w:val="left"/>
            </w:pPr>
            <w:r>
              <w:rPr>
                <w:sz w:val="18"/>
                <w:szCs w:val="18"/>
              </w:rPr>
              <w:t xml:space="preserve">Ocak</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Şubat</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Mart</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Nisan</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Mayıs</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Haziran</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Temmuz</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Ağustos</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Eylül</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Ekim</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Kasım</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Aralık</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shd w:val="clear" w:color="auto" w:fill="EDEDED"/>
            <w:vAlign w:val="center"/>
          </w:tcPr>
          <w:p>
            <w:pPr>
              <w:spacing w:before="40" w:after="40" w:line="240" w:lineRule="auto"/>
              <w:jc w:val="left"/>
            </w:pPr>
            <w:r>
              <w:rPr>
                <w:b/>
                <w:sz w:val="18"/>
                <w:szCs w:val="18"/>
              </w:rPr>
              <w:t xml:space="preserve">Toplam:</w:t>
            </w:r>
          </w:p>
        </w:tc>
        <w:tc>
          <w:tcPr>
            <w:tcW w:w="1224" w:type="dxa"/>
            <w:shd w:val="clear" w:color="auto" w:fill="EDEDED"/>
            <w:vAlign w:val="center"/>
          </w:tcPr>
          <w:p>
            <w:pPr>
              <w:spacing w:before="40" w:after="40" w:line="240" w:lineRule="auto"/>
              <w:jc w:val="right"/>
            </w:pPr>
            <w:r>
              <w:rPr>
                <w:b/>
                <w:sz w:val="18"/>
                <w:szCs w:val="18"/>
              </w:rPr>
              <w:t xml:space="preserve">6.000.000,00</w:t>
            </w:r>
          </w:p>
        </w:tc>
        <w:tc>
          <w:tcPr>
            <w:tcW w:w="1224" w:type="dxa"/>
            <w:shd w:val="clear" w:color="auto" w:fill="EDEDED"/>
            <w:vAlign w:val="center"/>
          </w:tcPr>
          <w:p>
            <w:pPr>
              <w:spacing w:before="40" w:after="40" w:line="240" w:lineRule="auto"/>
              <w:jc w:val="right"/>
            </w:pPr>
            <w:r>
              <w:rPr>
                <w:b/>
                <w:sz w:val="18"/>
                <w:szCs w:val="18"/>
              </w:rPr>
              <w:t xml:space="preserve">1.200.000,00</w:t>
            </w:r>
          </w:p>
        </w:tc>
        <w:tc>
          <w:tcPr>
            <w:tcW w:w="1224" w:type="dxa"/>
            <w:shd w:val="clear" w:color="auto" w:fill="EDEDED"/>
            <w:vAlign w:val="center"/>
          </w:tcPr>
          <w:p>
            <w:pPr>
              <w:spacing w:before="40" w:after="40" w:line="240" w:lineRule="auto"/>
              <w:jc w:val="right"/>
            </w:pPr>
            <w:r>
              <w:rPr>
                <w:b/>
                <w:sz w:val="18"/>
                <w:szCs w:val="18"/>
              </w:rPr>
              <w:t xml:space="preserve">0,00</w:t>
            </w:r>
          </w:p>
        </w:tc>
        <w:tc>
          <w:tcPr>
            <w:tcW w:w="1224" w:type="dxa"/>
            <w:shd w:val="clear" w:color="auto" w:fill="EDEDED"/>
            <w:vAlign w:val="center"/>
          </w:tcPr>
          <w:p>
            <w:pPr>
              <w:spacing w:before="40" w:after="40" w:line="240" w:lineRule="auto"/>
              <w:jc w:val="right"/>
            </w:pPr>
            <w:r>
              <w:rPr>
                <w:b/>
                <w:sz w:val="18"/>
                <w:szCs w:val="18"/>
              </w:rPr>
              <w:t xml:space="preserve">1.140.000,00</w:t>
            </w:r>
          </w:p>
        </w:tc>
        <w:tc>
          <w:tcPr>
            <w:tcW w:w="1224" w:type="dxa"/>
            <w:shd w:val="clear" w:color="auto" w:fill="EDEDED"/>
            <w:vAlign w:val="center"/>
          </w:tcPr>
          <w:p>
            <w:pPr>
              <w:spacing w:before="40" w:after="40" w:line="240" w:lineRule="auto"/>
              <w:jc w:val="right"/>
            </w:pPr>
            <w:r>
              <w:rPr>
                <w:b/>
                <w:sz w:val="18"/>
                <w:szCs w:val="18"/>
              </w:rPr>
              <w:t xml:space="preserve">1.140.000,00</w:t>
            </w:r>
          </w:p>
        </w:tc>
        <w:tc>
          <w:tcPr>
            <w:tcW w:w="1224" w:type="dxa"/>
            <w:shd w:val="clear" w:color="auto" w:fill="EDEDED"/>
            <w:vAlign w:val="center"/>
          </w:tcPr>
          <w:p>
            <w:pPr>
              <w:spacing w:before="40" w:after="40" w:line="240" w:lineRule="auto"/>
              <w:jc w:val="right"/>
            </w:pPr>
            <w:r>
              <w:rPr>
                <w:b/>
                <w:sz w:val="18"/>
                <w:szCs w:val="18"/>
              </w:rPr>
              <w:t xml:space="preserve">60.000,00</w:t>
            </w:r>
          </w:p>
        </w:tc>
        <w:tc>
          <w:tcPr>
            <w:tcW w:w="1230" w:type="dxa"/>
            <w:shd w:val="clear" w:color="auto" w:fill="EDEDED"/>
            <w:vAlign w:val="center"/>
          </w:tcPr>
          <w:p>
            <w:pPr>
              <w:spacing w:before="40" w:after="40" w:line="240" w:lineRule="auto"/>
              <w:jc w:val="right"/>
            </w:pPr>
            <w:r>
              <w:rPr>
                <w:b/>
                <w:sz w:val="18"/>
                <w:szCs w:val="18"/>
              </w:rPr>
              <w:t xml:space="preserve">0,00</w:t>
            </w:r>
          </w:p>
        </w:tc>
      </w:tr>
    </w:tbl>
    <w:p>
      <w:pPr>
        <w:spacing w:after="120"/>
      </w:pPr>
    </w:p>
    <w:p>
      <w:pPr>
        <w:spacing w:before="240" w:after="180" w:line="360" w:lineRule="auto"/>
        <w:jc w:val="center"/>
      </w:pPr>
      <w:r>
        <w:rPr>
          <w:b/>
          <w:sz w:val="28"/>
          <w:szCs w:val="28"/>
        </w:rPr>
        <w:t xml:space="preserve">IV- ELEŞTİRİLEN HUSUSLAR</w:t>
      </w:r>
    </w:p>
    <w:p>
      <w:pPr>
        <w:spacing w:before="180" w:after="120" w:line="360" w:lineRule="auto"/>
        <w:jc w:val="left"/>
      </w:pPr>
      <w:r>
        <w:rPr>
          <w:b/>
        </w:rPr>
        <w:t xml:space="preserve">A- Re’sen Takdir Nedeni</w:t>
      </w:r>
    </w:p>
    <w:p>
      <w:pPr>
        <w:spacing w:before="0" w:after="120" w:line="360" w:lineRule="auto"/>
        <w:ind w:firstLine="567"/>
        <w:jc w:val="both"/>
      </w:pPr>
      <w:r>
        <w:t xml:space="preserve">Raporun izleyen bölümlerinde ayrıntılı olarak açıklandığı üzere, rapora ekli tutanakta belirtilen ve sahte belge olduğu tespit edilen faturaların ilgili vergilendirme dönemlerinde defter kayıtlarına ve beyanlara intikal ettirildiği anlaşılmıştır.</w:t>
      </w:r>
    </w:p>
    <w:p>
      <w:pPr>
        <w:spacing w:before="0" w:after="120" w:line="360" w:lineRule="auto"/>
        <w:ind w:firstLine="567"/>
        <w:jc w:val="both"/>
      </w:pPr>
      <w:r>
        <w:t xml:space="preserve">Bu durum, 213 sayılı Vergi Usul Kanunu’nun 30/6. maddesi hükmü gereğince mükellef kurumun defter kayıtları ve bunlarla ilgili vesikaların vergi matrahının doğru ve kesin olarak tespitine imkân vermeyecek derecede noksan, usulsüz ve karışık olduğunu, dolayısıyla ihticaca salih bulunmadığını göstermekte olup, anılan madde uyarınca re’sen tarhiyat yapılması gerekmektedir.</w:t>
      </w:r>
    </w:p>
    <w:p>
      <w:pPr>
        <w:spacing w:before="180" w:after="120" w:line="360" w:lineRule="auto"/>
        <w:jc w:val="left"/>
      </w:pPr>
      <w:r>
        <w:rPr>
          <w:b/>
        </w:rPr>
        <w:t xml:space="preserve">B- Re’sen Takdir Verileri</w:t>
      </w:r>
    </w:p>
    <w:p>
      <w:pPr>
        <w:spacing w:before="180" w:after="120" w:line="360" w:lineRule="auto"/>
        <w:jc w:val="left"/>
      </w:pPr>
      <w:r>
        <w:rPr>
          <w:b/>
        </w:rPr>
        <w:t xml:space="preserve">B.1- Dörtkat Vergi Dairesi Müdürlüğünün 2950362893 Vergi Kimlik Numaralı Mükellefi CAYAZ SALATALIK TARIM TİC. LTD. ŞTİ.’den Olan Alışları</w:t>
      </w:r>
    </w:p>
    <w:p>
      <w:pPr>
        <w:spacing w:before="0" w:after="120" w:line="360" w:lineRule="auto"/>
        <w:ind w:firstLine="567"/>
        <w:jc w:val="both"/>
      </w:pPr>
      <w:r>
        <w:t xml:space="preserve">Mükellef Kurumun 2023 hesap dönemi yasal defter ve belgelerinin tetkik edilmesi sonucunda Dörtkat Vergi Dairesi Müdürlüğünün 2950362893 vergi kimlik numaralı mükellefi CAYAZ SALATALIK TARIM TİC. LTD. ŞTİ.’den mal ve/veya hizmet alışlarının olduğu tespit edilmiştir.</w:t>
      </w:r>
    </w:p>
    <w:p>
      <w:pPr>
        <w:spacing w:before="0" w:after="120" w:line="360" w:lineRule="auto"/>
        <w:ind w:firstLine="567"/>
        <w:jc w:val="both"/>
      </w:pPr>
      <w:r>
        <w:t xml:space="preserve">Anılan mükellef hakkında 12.11.2024 tarih ve 2024/55 sayılı Vergi Tekniği Raporu tanzim edilmiştir.</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20"/>
        <w:gridCol w:w="1568"/>
        <w:gridCol w:w="1456"/>
        <w:gridCol w:w="1232"/>
        <w:gridCol w:w="1120"/>
        <w:gridCol w:w="1232"/>
        <w:gridCol w:w="1120"/>
        <w:gridCol w:w="790"/>
      </w:tblGrid>
      <w:tr>
        <w:trPr>
          <w:tblHeader/>
        </w:trPr>
        <w:tc>
          <w:tcPr>
            <w:tcW w:w="1120" w:type="dxa"/>
            <w:shd w:val="clear" w:color="auto" w:fill="D9D9D9"/>
            <w:vAlign w:val="center"/>
          </w:tcPr>
          <w:p>
            <w:pPr>
              <w:spacing w:before="40" w:after="40" w:line="240" w:lineRule="auto"/>
              <w:jc w:val="center"/>
            </w:pPr>
            <w:r>
              <w:rPr>
                <w:b/>
                <w:sz w:val="18"/>
                <w:szCs w:val="18"/>
              </w:rPr>
              <w:t xml:space="preserve">Fatura Tarih</w:t>
            </w:r>
          </w:p>
        </w:tc>
        <w:tc>
          <w:tcPr>
            <w:tcW w:w="1568" w:type="dxa"/>
            <w:shd w:val="clear" w:color="auto" w:fill="D9D9D9"/>
            <w:vAlign w:val="center"/>
          </w:tcPr>
          <w:p>
            <w:pPr>
              <w:spacing w:before="40" w:after="40" w:line="240" w:lineRule="auto"/>
              <w:jc w:val="left"/>
            </w:pPr>
            <w:r>
              <w:rPr>
                <w:b/>
                <w:sz w:val="18"/>
                <w:szCs w:val="18"/>
              </w:rPr>
              <w:t xml:space="preserve">Fatura No</w:t>
            </w:r>
          </w:p>
        </w:tc>
        <w:tc>
          <w:tcPr>
            <w:tcW w:w="1456" w:type="dxa"/>
            <w:shd w:val="clear" w:color="auto" w:fill="D9D9D9"/>
            <w:vAlign w:val="center"/>
          </w:tcPr>
          <w:p>
            <w:pPr>
              <w:spacing w:before="40" w:after="40" w:line="240" w:lineRule="auto"/>
              <w:jc w:val="left"/>
            </w:pPr>
            <w:r>
              <w:rPr>
                <w:b/>
                <w:sz w:val="18"/>
                <w:szCs w:val="18"/>
              </w:rPr>
              <w:t xml:space="preserve">Malın Cinsi</w:t>
            </w:r>
          </w:p>
        </w:tc>
        <w:tc>
          <w:tcPr>
            <w:tcW w:w="1232" w:type="dxa"/>
            <w:shd w:val="clear" w:color="auto" w:fill="D9D9D9"/>
            <w:vAlign w:val="center"/>
          </w:tcPr>
          <w:p>
            <w:pPr>
              <w:spacing w:before="40" w:after="40" w:line="240" w:lineRule="auto"/>
              <w:jc w:val="right"/>
            </w:pPr>
            <w:r>
              <w:rPr>
                <w:b/>
                <w:sz w:val="18"/>
                <w:szCs w:val="18"/>
              </w:rPr>
              <w:t xml:space="preserve">Tutar</w:t>
            </w:r>
          </w:p>
        </w:tc>
        <w:tc>
          <w:tcPr>
            <w:tcW w:w="1120" w:type="dxa"/>
            <w:shd w:val="clear" w:color="auto" w:fill="D9D9D9"/>
            <w:vAlign w:val="center"/>
          </w:tcPr>
          <w:p>
            <w:pPr>
              <w:spacing w:before="40" w:after="40" w:line="240" w:lineRule="auto"/>
              <w:jc w:val="right"/>
            </w:pPr>
            <w:r>
              <w:rPr>
                <w:b/>
                <w:sz w:val="18"/>
                <w:szCs w:val="18"/>
              </w:rPr>
              <w:t xml:space="preserve">KDV</w:t>
            </w:r>
          </w:p>
        </w:tc>
        <w:tc>
          <w:tcPr>
            <w:tcW w:w="1232" w:type="dxa"/>
            <w:shd w:val="clear" w:color="auto" w:fill="D9D9D9"/>
            <w:vAlign w:val="center"/>
          </w:tcPr>
          <w:p>
            <w:pPr>
              <w:spacing w:before="40" w:after="40" w:line="240" w:lineRule="auto"/>
              <w:jc w:val="right"/>
            </w:pPr>
            <w:r>
              <w:rPr>
                <w:b/>
                <w:sz w:val="18"/>
                <w:szCs w:val="18"/>
              </w:rPr>
              <w:t xml:space="preserve">Toplam Tutar</w:t>
            </w:r>
          </w:p>
        </w:tc>
        <w:tc>
          <w:tcPr>
            <w:tcW w:w="1120" w:type="dxa"/>
            <w:shd w:val="clear" w:color="auto" w:fill="D9D9D9"/>
            <w:vAlign w:val="center"/>
          </w:tcPr>
          <w:p>
            <w:pPr>
              <w:spacing w:before="40" w:after="40" w:line="240" w:lineRule="auto"/>
              <w:jc w:val="center"/>
            </w:pPr>
            <w:r>
              <w:rPr>
                <w:b/>
                <w:sz w:val="18"/>
                <w:szCs w:val="18"/>
              </w:rPr>
              <w:t xml:space="preserve">Yevmiye Tarih</w:t>
            </w:r>
          </w:p>
        </w:tc>
        <w:tc>
          <w:tcPr>
            <w:tcW w:w="790" w:type="dxa"/>
            <w:shd w:val="clear" w:color="auto" w:fill="D9D9D9"/>
            <w:vAlign w:val="center"/>
          </w:tcPr>
          <w:p>
            <w:pPr>
              <w:spacing w:before="40" w:after="40" w:line="240" w:lineRule="auto"/>
              <w:jc w:val="center"/>
            </w:pPr>
            <w:r>
              <w:rPr>
                <w:b/>
                <w:sz w:val="18"/>
                <w:szCs w:val="18"/>
              </w:rPr>
              <w:t xml:space="preserve">Yevmiye No</w:t>
            </w:r>
          </w:p>
        </w:tc>
      </w:tr>
      <w:tr>
        <w:tc>
          <w:tcPr>
            <w:tcW w:w="1120" w:type="dxa"/>
            <w:vAlign w:val="center"/>
          </w:tcPr>
          <w:p>
            <w:pPr>
              <w:spacing w:before="40" w:after="40" w:line="240" w:lineRule="auto"/>
              <w:jc w:val="center"/>
            </w:pPr>
            <w:r>
              <w:rPr>
                <w:sz w:val="18"/>
                <w:szCs w:val="18"/>
              </w:rPr>
              <w:t xml:space="preserve">2023-06-05</w:t>
            </w:r>
          </w:p>
        </w:tc>
        <w:tc>
          <w:tcPr>
            <w:tcW w:w="1568" w:type="dxa"/>
            <w:vAlign w:val="center"/>
          </w:tcPr>
          <w:p>
            <w:pPr>
              <w:spacing w:before="40" w:after="40" w:line="240" w:lineRule="auto"/>
              <w:jc w:val="left"/>
            </w:pPr>
            <w:r>
              <w:rPr>
                <w:sz w:val="18"/>
                <w:szCs w:val="18"/>
              </w:rPr>
              <w:t xml:space="preserve">MAY-01</w:t>
            </w:r>
          </w:p>
        </w:tc>
        <w:tc>
          <w:tcPr>
            <w:tcW w:w="1456" w:type="dxa"/>
            <w:vAlign w:val="center"/>
          </w:tcPr>
          <w:p>
            <w:pPr>
              <w:spacing w:before="40" w:after="40" w:line="240" w:lineRule="auto"/>
              <w:jc w:val="left"/>
            </w:pPr>
            <w:r>
              <w:rPr>
                <w:sz w:val="18"/>
                <w:szCs w:val="18"/>
              </w:rPr>
              <w:t xml:space="preserve">İNŞ.DEMİRİ</w:t>
            </w:r>
          </w:p>
        </w:tc>
        <w:tc>
          <w:tcPr>
            <w:tcW w:w="1232" w:type="dxa"/>
            <w:vAlign w:val="center"/>
          </w:tcPr>
          <w:p>
            <w:pPr>
              <w:spacing w:before="40" w:after="40" w:line="240" w:lineRule="auto"/>
              <w:jc w:val="right"/>
            </w:pPr>
            <w:r>
              <w:rPr>
                <w:sz w:val="18"/>
                <w:szCs w:val="18"/>
              </w:rPr>
              <w:t xml:space="preserve">240.779,67</w:t>
            </w:r>
          </w:p>
        </w:tc>
        <w:tc>
          <w:tcPr>
            <w:tcW w:w="1120" w:type="dxa"/>
            <w:vAlign w:val="center"/>
          </w:tcPr>
          <w:p>
            <w:pPr>
              <w:spacing w:before="40" w:after="40" w:line="240" w:lineRule="auto"/>
              <w:jc w:val="right"/>
            </w:pPr>
            <w:r>
              <w:rPr>
                <w:sz w:val="18"/>
                <w:szCs w:val="18"/>
              </w:rPr>
              <w:t xml:space="preserve">48.155,93</w:t>
            </w:r>
          </w:p>
        </w:tc>
        <w:tc>
          <w:tcPr>
            <w:tcW w:w="1232" w:type="dxa"/>
            <w:vAlign w:val="center"/>
          </w:tcPr>
          <w:p>
            <w:pPr>
              <w:spacing w:before="40" w:after="40" w:line="240" w:lineRule="auto"/>
              <w:jc w:val="right"/>
            </w:pPr>
            <w:r>
              <w:rPr>
                <w:sz w:val="18"/>
                <w:szCs w:val="18"/>
              </w:rPr>
              <w:t xml:space="preserve">288.935,60</w:t>
            </w:r>
          </w:p>
        </w:tc>
        <w:tc>
          <w:tcPr>
            <w:tcW w:w="1120" w:type="dxa"/>
            <w:vAlign w:val="center"/>
          </w:tcPr>
          <w:p>
            <w:pPr>
              <w:spacing w:before="40" w:after="40" w:line="240" w:lineRule="auto"/>
              <w:jc w:val="center"/>
            </w:pPr>
            <w:r>
              <w:rPr>
                <w:sz w:val="18"/>
                <w:szCs w:val="18"/>
              </w:rPr>
              <w:t xml:space="preserve">2023-06-10</w:t>
            </w:r>
          </w:p>
        </w:tc>
        <w:tc>
          <w:tcPr>
            <w:tcW w:w="790" w:type="dxa"/>
            <w:vAlign w:val="center"/>
          </w:tcPr>
          <w:p>
            <w:pPr>
              <w:spacing w:before="40" w:after="40" w:line="240" w:lineRule="auto"/>
              <w:jc w:val="center"/>
            </w:pPr>
            <w:r>
              <w:rPr>
                <w:sz w:val="18"/>
                <w:szCs w:val="18"/>
              </w:rPr>
              <w:t xml:space="preserve">00056</w:t>
            </w:r>
          </w:p>
        </w:tc>
      </w:tr>
      <w:tr>
        <w:tc>
          <w:tcPr>
            <w:tcW w:w="1120" w:type="dxa"/>
            <w:shd w:val="clear" w:color="auto" w:fill="EDEDED"/>
            <w:vAlign w:val="center"/>
          </w:tcPr>
          <w:p>
            <w:pPr>
              <w:spacing w:before="40" w:after="40" w:line="240" w:lineRule="auto"/>
              <w:jc w:val="center"/>
            </w:pPr>
            <w:r>
              <w:rPr>
                <w:b/>
                <w:sz w:val="18"/>
                <w:szCs w:val="18"/>
              </w:rPr>
              <w:t xml:space="preserve">TOPLAM</w:t>
            </w:r>
          </w:p>
        </w:tc>
        <w:tc>
          <w:tcPr>
            <w:tcW w:w="1568" w:type="dxa"/>
            <w:shd w:val="clear" w:color="auto" w:fill="EDEDED"/>
            <w:vAlign w:val="center"/>
          </w:tcPr>
          <w:p>
            <w:pPr>
              <w:spacing w:before="40" w:after="40" w:line="240" w:lineRule="auto"/>
              <w:jc w:val="left"/>
            </w:pPr>
            <w:r>
              <w:rPr>
                <w:b/>
                <w:sz w:val="18"/>
                <w:szCs w:val="18"/>
              </w:rPr>
            </w:r>
          </w:p>
        </w:tc>
        <w:tc>
          <w:tcPr>
            <w:tcW w:w="1456" w:type="dxa"/>
            <w:shd w:val="clear" w:color="auto" w:fill="EDEDED"/>
            <w:vAlign w:val="center"/>
          </w:tcPr>
          <w:p>
            <w:pPr>
              <w:spacing w:before="40" w:after="40" w:line="240" w:lineRule="auto"/>
              <w:jc w:val="left"/>
            </w:pPr>
            <w:r>
              <w:rPr>
                <w:b/>
                <w:sz w:val="18"/>
                <w:szCs w:val="18"/>
              </w:rPr>
            </w:r>
          </w:p>
        </w:tc>
        <w:tc>
          <w:tcPr>
            <w:tcW w:w="1232" w:type="dxa"/>
            <w:shd w:val="clear" w:color="auto" w:fill="EDEDED"/>
            <w:vAlign w:val="center"/>
          </w:tcPr>
          <w:p>
            <w:pPr>
              <w:spacing w:before="40" w:after="40" w:line="240" w:lineRule="auto"/>
              <w:jc w:val="right"/>
            </w:pPr>
            <w:r>
              <w:rPr>
                <w:b/>
                <w:sz w:val="18"/>
                <w:szCs w:val="18"/>
              </w:rPr>
              <w:t xml:space="preserve">240.779,67</w:t>
            </w:r>
          </w:p>
        </w:tc>
        <w:tc>
          <w:tcPr>
            <w:tcW w:w="1120" w:type="dxa"/>
            <w:shd w:val="clear" w:color="auto" w:fill="EDEDED"/>
            <w:vAlign w:val="center"/>
          </w:tcPr>
          <w:p>
            <w:pPr>
              <w:spacing w:before="40" w:after="40" w:line="240" w:lineRule="auto"/>
              <w:jc w:val="right"/>
            </w:pPr>
            <w:r>
              <w:rPr>
                <w:b/>
                <w:sz w:val="18"/>
                <w:szCs w:val="18"/>
              </w:rPr>
              <w:t xml:space="preserve">48.155,93</w:t>
            </w:r>
          </w:p>
        </w:tc>
        <w:tc>
          <w:tcPr>
            <w:tcW w:w="1232" w:type="dxa"/>
            <w:shd w:val="clear" w:color="auto" w:fill="EDEDED"/>
            <w:vAlign w:val="center"/>
          </w:tcPr>
          <w:p>
            <w:pPr>
              <w:spacing w:before="40" w:after="40" w:line="240" w:lineRule="auto"/>
              <w:jc w:val="right"/>
            </w:pPr>
            <w:r>
              <w:rPr>
                <w:b/>
                <w:sz w:val="18"/>
                <w:szCs w:val="18"/>
              </w:rPr>
              <w:t xml:space="preserve">288.935,60</w:t>
            </w:r>
          </w:p>
        </w:tc>
        <w:tc>
          <w:tcPr>
            <w:tcW w:w="1120" w:type="dxa"/>
            <w:shd w:val="clear" w:color="auto" w:fill="EDEDED"/>
            <w:vAlign w:val="center"/>
          </w:tcPr>
          <w:p>
            <w:pPr>
              <w:spacing w:before="40" w:after="40" w:line="240" w:lineRule="auto"/>
              <w:jc w:val="center"/>
            </w:pPr>
            <w:r>
              <w:rPr>
                <w:b/>
                <w:sz w:val="18"/>
                <w:szCs w:val="18"/>
              </w:rPr>
            </w:r>
          </w:p>
        </w:tc>
        <w:tc>
          <w:tcPr>
            <w:tcW w:w="790" w:type="dxa"/>
            <w:shd w:val="clear" w:color="auto" w:fill="EDEDED"/>
            <w:vAlign w:val="center"/>
          </w:tcPr>
          <w:p>
            <w:pPr>
              <w:spacing w:before="40" w:after="40" w:line="240" w:lineRule="auto"/>
              <w:jc w:val="center"/>
            </w:pPr>
            <w:r>
              <w:rPr>
                <w:b/>
                <w:sz w:val="18"/>
                <w:szCs w:val="18"/>
              </w:rPr>
            </w:r>
          </w:p>
        </w:tc>
      </w:tr>
    </w:tbl>
    <w:p>
      <w:pPr>
        <w:spacing w:after="120"/>
      </w:pPr>
    </w:p>
    <w:p>
      <w:pPr>
        <w:spacing w:before="0" w:after="120" w:line="360" w:lineRule="auto"/>
        <w:ind w:firstLine="567"/>
        <w:jc w:val="both"/>
      </w:pPr>
      <w:r>
        <w:t xml:space="preserve">Yukarıdaki açıklamalar ve tespit edilen hususlar ile ilgili mevzuat hükümlerinden hareketle; mükellef kurum tarafından kullanılan söz konusu faturalara isabet eden ve ilgili dönem katma değer vergisi beyannamelerinde indirim konusu yapılmış olan 48.155,93 TL tutarındaki katma değer vergisinin indiriminin reddedilmesi ve buna göre ilgili dönem beyanlarının düzeltilmesi gerekmektedir.</w:t>
      </w:r>
    </w:p>
    <w:p>
      <w:pPr>
        <w:spacing w:before="180" w:after="120" w:line="360" w:lineRule="auto"/>
        <w:jc w:val="left"/>
      </w:pPr>
      <w:r>
        <w:rPr>
          <w:b/>
        </w:rPr>
        <w:t xml:space="preserve">B.2- Dörtyol Vergi Dairesi Müdürlüğünün 2171802681 Vergi Kimlik Numaralı Mükellefi MAYAZ DOMATEZ TARIM TİC. LTD. ŞTİ.’den Olan Alışları</w:t>
      </w:r>
    </w:p>
    <w:p>
      <w:pPr>
        <w:spacing w:before="0" w:after="120" w:line="360" w:lineRule="auto"/>
        <w:ind w:firstLine="567"/>
        <w:jc w:val="both"/>
      </w:pPr>
      <w:r>
        <w:t xml:space="preserve">Mükellef Kurumun 2023 hesap dönemi yasal defter ve belgelerinin tetkik edilmesi sonucunda Dörtyol Vergi Dairesi Müdürlüğünün 2171802681 vergi kimlik numaralı mükellefi MAYAZ DOMATEZ TARIM TİC. LTD. ŞTİ.’den mal ve/veya hizmet alışlarının olduğu tespit edilmiştir.</w:t>
      </w:r>
    </w:p>
    <w:p>
      <w:pPr>
        <w:spacing w:before="0" w:after="120" w:line="360" w:lineRule="auto"/>
        <w:ind w:firstLine="567"/>
        <w:jc w:val="both"/>
      </w:pPr>
      <w:r>
        <w:t xml:space="preserve">Anılan mükellef hakkında </w:t>
      </w:r>
      <w:r>
        <w:rPr>
          <w:color w:val="C00000"/>
        </w:rPr>
        <w:t xml:space="preserve">[VTR tarihi]</w:t>
      </w:r>
      <w:r>
        <w:t xml:space="preserve"> tarih ve </w:t>
      </w:r>
      <w:r>
        <w:rPr>
          <w:color w:val="C00000"/>
        </w:rPr>
        <w:t xml:space="preserve">[VTR no]</w:t>
      </w:r>
      <w:r>
        <w:t xml:space="preserve"> sayılı Vergi Tekniği Raporu tanzim edilmiştir.</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20"/>
        <w:gridCol w:w="1568"/>
        <w:gridCol w:w="1456"/>
        <w:gridCol w:w="1232"/>
        <w:gridCol w:w="1120"/>
        <w:gridCol w:w="1232"/>
        <w:gridCol w:w="1120"/>
        <w:gridCol w:w="790"/>
      </w:tblGrid>
      <w:tr>
        <w:trPr>
          <w:tblHeader/>
        </w:trPr>
        <w:tc>
          <w:tcPr>
            <w:tcW w:w="1120" w:type="dxa"/>
            <w:shd w:val="clear" w:color="auto" w:fill="D9D9D9"/>
            <w:vAlign w:val="center"/>
          </w:tcPr>
          <w:p>
            <w:pPr>
              <w:spacing w:before="40" w:after="40" w:line="240" w:lineRule="auto"/>
              <w:jc w:val="center"/>
            </w:pPr>
            <w:r>
              <w:rPr>
                <w:b/>
                <w:sz w:val="18"/>
                <w:szCs w:val="18"/>
              </w:rPr>
              <w:t xml:space="preserve">Fatura Tarih</w:t>
            </w:r>
          </w:p>
        </w:tc>
        <w:tc>
          <w:tcPr>
            <w:tcW w:w="1568" w:type="dxa"/>
            <w:shd w:val="clear" w:color="auto" w:fill="D9D9D9"/>
            <w:vAlign w:val="center"/>
          </w:tcPr>
          <w:p>
            <w:pPr>
              <w:spacing w:before="40" w:after="40" w:line="240" w:lineRule="auto"/>
              <w:jc w:val="left"/>
            </w:pPr>
            <w:r>
              <w:rPr>
                <w:b/>
                <w:sz w:val="18"/>
                <w:szCs w:val="18"/>
              </w:rPr>
              <w:t xml:space="preserve">Fatura No</w:t>
            </w:r>
          </w:p>
        </w:tc>
        <w:tc>
          <w:tcPr>
            <w:tcW w:w="1456" w:type="dxa"/>
            <w:shd w:val="clear" w:color="auto" w:fill="D9D9D9"/>
            <w:vAlign w:val="center"/>
          </w:tcPr>
          <w:p>
            <w:pPr>
              <w:spacing w:before="40" w:after="40" w:line="240" w:lineRule="auto"/>
              <w:jc w:val="left"/>
            </w:pPr>
            <w:r>
              <w:rPr>
                <w:b/>
                <w:sz w:val="18"/>
                <w:szCs w:val="18"/>
              </w:rPr>
              <w:t xml:space="preserve">Malın Cinsi</w:t>
            </w:r>
          </w:p>
        </w:tc>
        <w:tc>
          <w:tcPr>
            <w:tcW w:w="1232" w:type="dxa"/>
            <w:shd w:val="clear" w:color="auto" w:fill="D9D9D9"/>
            <w:vAlign w:val="center"/>
          </w:tcPr>
          <w:p>
            <w:pPr>
              <w:spacing w:before="40" w:after="40" w:line="240" w:lineRule="auto"/>
              <w:jc w:val="right"/>
            </w:pPr>
            <w:r>
              <w:rPr>
                <w:b/>
                <w:sz w:val="18"/>
                <w:szCs w:val="18"/>
              </w:rPr>
              <w:t xml:space="preserve">Tutar</w:t>
            </w:r>
          </w:p>
        </w:tc>
        <w:tc>
          <w:tcPr>
            <w:tcW w:w="1120" w:type="dxa"/>
            <w:shd w:val="clear" w:color="auto" w:fill="D9D9D9"/>
            <w:vAlign w:val="center"/>
          </w:tcPr>
          <w:p>
            <w:pPr>
              <w:spacing w:before="40" w:after="40" w:line="240" w:lineRule="auto"/>
              <w:jc w:val="right"/>
            </w:pPr>
            <w:r>
              <w:rPr>
                <w:b/>
                <w:sz w:val="18"/>
                <w:szCs w:val="18"/>
              </w:rPr>
              <w:t xml:space="preserve">KDV</w:t>
            </w:r>
          </w:p>
        </w:tc>
        <w:tc>
          <w:tcPr>
            <w:tcW w:w="1232" w:type="dxa"/>
            <w:shd w:val="clear" w:color="auto" w:fill="D9D9D9"/>
            <w:vAlign w:val="center"/>
          </w:tcPr>
          <w:p>
            <w:pPr>
              <w:spacing w:before="40" w:after="40" w:line="240" w:lineRule="auto"/>
              <w:jc w:val="right"/>
            </w:pPr>
            <w:r>
              <w:rPr>
                <w:b/>
                <w:sz w:val="18"/>
                <w:szCs w:val="18"/>
              </w:rPr>
              <w:t xml:space="preserve">Toplam Tutar</w:t>
            </w:r>
          </w:p>
        </w:tc>
        <w:tc>
          <w:tcPr>
            <w:tcW w:w="1120" w:type="dxa"/>
            <w:shd w:val="clear" w:color="auto" w:fill="D9D9D9"/>
            <w:vAlign w:val="center"/>
          </w:tcPr>
          <w:p>
            <w:pPr>
              <w:spacing w:before="40" w:after="40" w:line="240" w:lineRule="auto"/>
              <w:jc w:val="center"/>
            </w:pPr>
            <w:r>
              <w:rPr>
                <w:b/>
                <w:sz w:val="18"/>
                <w:szCs w:val="18"/>
              </w:rPr>
              <w:t xml:space="preserve">Yevmiye Tarih</w:t>
            </w:r>
          </w:p>
        </w:tc>
        <w:tc>
          <w:tcPr>
            <w:tcW w:w="790" w:type="dxa"/>
            <w:shd w:val="clear" w:color="auto" w:fill="D9D9D9"/>
            <w:vAlign w:val="center"/>
          </w:tcPr>
          <w:p>
            <w:pPr>
              <w:spacing w:before="40" w:after="40" w:line="240" w:lineRule="auto"/>
              <w:jc w:val="center"/>
            </w:pPr>
            <w:r>
              <w:rPr>
                <w:b/>
                <w:sz w:val="18"/>
                <w:szCs w:val="18"/>
              </w:rPr>
              <w:t xml:space="preserve">Yevmiye No</w:t>
            </w:r>
          </w:p>
        </w:tc>
      </w:tr>
      <w:tr>
        <w:tc>
          <w:tcPr>
            <w:tcW w:w="1120" w:type="dxa"/>
            <w:vAlign w:val="center"/>
          </w:tcPr>
          <w:p>
            <w:pPr>
              <w:spacing w:before="40" w:after="40" w:line="240" w:lineRule="auto"/>
              <w:jc w:val="center"/>
            </w:pPr>
            <w:r>
              <w:rPr>
                <w:sz w:val="18"/>
                <w:szCs w:val="18"/>
              </w:rPr>
              <w:t xml:space="preserve">2023-03-05</w:t>
            </w:r>
          </w:p>
        </w:tc>
        <w:tc>
          <w:tcPr>
            <w:tcW w:w="1568" w:type="dxa"/>
            <w:vAlign w:val="center"/>
          </w:tcPr>
          <w:p>
            <w:pPr>
              <w:spacing w:before="40" w:after="40" w:line="240" w:lineRule="auto"/>
              <w:jc w:val="left"/>
            </w:pPr>
            <w:r>
              <w:rPr>
                <w:sz w:val="18"/>
                <w:szCs w:val="18"/>
              </w:rPr>
              <w:t xml:space="preserve">GIB-196</w:t>
            </w:r>
          </w:p>
        </w:tc>
        <w:tc>
          <w:tcPr>
            <w:tcW w:w="1456" w:type="dxa"/>
            <w:vAlign w:val="center"/>
          </w:tcPr>
          <w:p>
            <w:pPr>
              <w:spacing w:before="40" w:after="40" w:line="240" w:lineRule="auto"/>
              <w:jc w:val="left"/>
            </w:pPr>
            <w:r>
              <w:rPr>
                <w:sz w:val="18"/>
                <w:szCs w:val="18"/>
              </w:rPr>
              <w:t xml:space="preserve">MOTORİN</w:t>
            </w:r>
          </w:p>
        </w:tc>
        <w:tc>
          <w:tcPr>
            <w:tcW w:w="1232" w:type="dxa"/>
            <w:vAlign w:val="center"/>
          </w:tcPr>
          <w:p>
            <w:pPr>
              <w:spacing w:before="40" w:after="40" w:line="240" w:lineRule="auto"/>
              <w:jc w:val="right"/>
            </w:pPr>
            <w:r>
              <w:rPr>
                <w:sz w:val="18"/>
                <w:szCs w:val="18"/>
              </w:rPr>
              <w:t xml:space="preserve">18.096,00</w:t>
            </w:r>
          </w:p>
        </w:tc>
        <w:tc>
          <w:tcPr>
            <w:tcW w:w="1120" w:type="dxa"/>
            <w:vAlign w:val="center"/>
          </w:tcPr>
          <w:p>
            <w:pPr>
              <w:spacing w:before="40" w:after="40" w:line="240" w:lineRule="auto"/>
              <w:jc w:val="right"/>
            </w:pPr>
            <w:r>
              <w:rPr>
                <w:sz w:val="18"/>
                <w:szCs w:val="18"/>
              </w:rPr>
              <w:t xml:space="preserve">3.619,20</w:t>
            </w:r>
          </w:p>
        </w:tc>
        <w:tc>
          <w:tcPr>
            <w:tcW w:w="1232" w:type="dxa"/>
            <w:vAlign w:val="center"/>
          </w:tcPr>
          <w:p>
            <w:pPr>
              <w:spacing w:before="40" w:after="40" w:line="240" w:lineRule="auto"/>
              <w:jc w:val="right"/>
            </w:pPr>
            <w:r>
              <w:rPr>
                <w:sz w:val="18"/>
                <w:szCs w:val="18"/>
              </w:rPr>
              <w:t xml:space="preserve">21.715,20</w:t>
            </w:r>
          </w:p>
        </w:tc>
        <w:tc>
          <w:tcPr>
            <w:tcW w:w="1120" w:type="dxa"/>
            <w:vAlign w:val="center"/>
          </w:tcPr>
          <w:p>
            <w:pPr>
              <w:spacing w:before="40" w:after="40" w:line="240" w:lineRule="auto"/>
              <w:jc w:val="center"/>
            </w:pPr>
            <w:r>
              <w:rPr>
                <w:sz w:val="18"/>
                <w:szCs w:val="18"/>
              </w:rPr>
              <w:t xml:space="preserve">2023-03-10</w:t>
            </w:r>
          </w:p>
        </w:tc>
        <w:tc>
          <w:tcPr>
            <w:tcW w:w="790" w:type="dxa"/>
            <w:vAlign w:val="center"/>
          </w:tcPr>
          <w:p>
            <w:pPr>
              <w:spacing w:before="40" w:after="40" w:line="240" w:lineRule="auto"/>
              <w:jc w:val="center"/>
            </w:pPr>
            <w:r>
              <w:rPr>
                <w:sz w:val="18"/>
                <w:szCs w:val="18"/>
              </w:rPr>
              <w:t xml:space="preserve">00053</w:t>
            </w:r>
          </w:p>
        </w:tc>
      </w:tr>
      <w:tr>
        <w:tc>
          <w:tcPr>
            <w:tcW w:w="1120" w:type="dxa"/>
            <w:shd w:val="clear" w:color="auto" w:fill="EDEDED"/>
            <w:vAlign w:val="center"/>
          </w:tcPr>
          <w:p>
            <w:pPr>
              <w:spacing w:before="40" w:after="40" w:line="240" w:lineRule="auto"/>
              <w:jc w:val="center"/>
            </w:pPr>
            <w:r>
              <w:rPr>
                <w:b/>
                <w:sz w:val="18"/>
                <w:szCs w:val="18"/>
              </w:rPr>
              <w:t xml:space="preserve">TOPLAM</w:t>
            </w:r>
          </w:p>
        </w:tc>
        <w:tc>
          <w:tcPr>
            <w:tcW w:w="1568" w:type="dxa"/>
            <w:shd w:val="clear" w:color="auto" w:fill="EDEDED"/>
            <w:vAlign w:val="center"/>
          </w:tcPr>
          <w:p>
            <w:pPr>
              <w:spacing w:before="40" w:after="40" w:line="240" w:lineRule="auto"/>
              <w:jc w:val="left"/>
            </w:pPr>
            <w:r>
              <w:rPr>
                <w:b/>
                <w:sz w:val="18"/>
                <w:szCs w:val="18"/>
              </w:rPr>
            </w:r>
          </w:p>
        </w:tc>
        <w:tc>
          <w:tcPr>
            <w:tcW w:w="1456" w:type="dxa"/>
            <w:shd w:val="clear" w:color="auto" w:fill="EDEDED"/>
            <w:vAlign w:val="center"/>
          </w:tcPr>
          <w:p>
            <w:pPr>
              <w:spacing w:before="40" w:after="40" w:line="240" w:lineRule="auto"/>
              <w:jc w:val="left"/>
            </w:pPr>
            <w:r>
              <w:rPr>
                <w:b/>
                <w:sz w:val="18"/>
                <w:szCs w:val="18"/>
              </w:rPr>
            </w:r>
          </w:p>
        </w:tc>
        <w:tc>
          <w:tcPr>
            <w:tcW w:w="1232" w:type="dxa"/>
            <w:shd w:val="clear" w:color="auto" w:fill="EDEDED"/>
            <w:vAlign w:val="center"/>
          </w:tcPr>
          <w:p>
            <w:pPr>
              <w:spacing w:before="40" w:after="40" w:line="240" w:lineRule="auto"/>
              <w:jc w:val="right"/>
            </w:pPr>
            <w:r>
              <w:rPr>
                <w:b/>
                <w:sz w:val="18"/>
                <w:szCs w:val="18"/>
              </w:rPr>
              <w:t xml:space="preserve">18.096,00</w:t>
            </w:r>
          </w:p>
        </w:tc>
        <w:tc>
          <w:tcPr>
            <w:tcW w:w="1120" w:type="dxa"/>
            <w:shd w:val="clear" w:color="auto" w:fill="EDEDED"/>
            <w:vAlign w:val="center"/>
          </w:tcPr>
          <w:p>
            <w:pPr>
              <w:spacing w:before="40" w:after="40" w:line="240" w:lineRule="auto"/>
              <w:jc w:val="right"/>
            </w:pPr>
            <w:r>
              <w:rPr>
                <w:b/>
                <w:sz w:val="18"/>
                <w:szCs w:val="18"/>
              </w:rPr>
              <w:t xml:space="preserve">3.619,20</w:t>
            </w:r>
          </w:p>
        </w:tc>
        <w:tc>
          <w:tcPr>
            <w:tcW w:w="1232" w:type="dxa"/>
            <w:shd w:val="clear" w:color="auto" w:fill="EDEDED"/>
            <w:vAlign w:val="center"/>
          </w:tcPr>
          <w:p>
            <w:pPr>
              <w:spacing w:before="40" w:after="40" w:line="240" w:lineRule="auto"/>
              <w:jc w:val="right"/>
            </w:pPr>
            <w:r>
              <w:rPr>
                <w:b/>
                <w:sz w:val="18"/>
                <w:szCs w:val="18"/>
              </w:rPr>
              <w:t xml:space="preserve">21.715,20</w:t>
            </w:r>
          </w:p>
        </w:tc>
        <w:tc>
          <w:tcPr>
            <w:tcW w:w="1120" w:type="dxa"/>
            <w:shd w:val="clear" w:color="auto" w:fill="EDEDED"/>
            <w:vAlign w:val="center"/>
          </w:tcPr>
          <w:p>
            <w:pPr>
              <w:spacing w:before="40" w:after="40" w:line="240" w:lineRule="auto"/>
              <w:jc w:val="center"/>
            </w:pPr>
            <w:r>
              <w:rPr>
                <w:b/>
                <w:sz w:val="18"/>
                <w:szCs w:val="18"/>
              </w:rPr>
            </w:r>
          </w:p>
        </w:tc>
        <w:tc>
          <w:tcPr>
            <w:tcW w:w="790" w:type="dxa"/>
            <w:shd w:val="clear" w:color="auto" w:fill="EDEDED"/>
            <w:vAlign w:val="center"/>
          </w:tcPr>
          <w:p>
            <w:pPr>
              <w:spacing w:before="40" w:after="40" w:line="240" w:lineRule="auto"/>
              <w:jc w:val="center"/>
            </w:pPr>
            <w:r>
              <w:rPr>
                <w:b/>
                <w:sz w:val="18"/>
                <w:szCs w:val="18"/>
              </w:rPr>
            </w:r>
          </w:p>
        </w:tc>
      </w:tr>
    </w:tbl>
    <w:p>
      <w:pPr>
        <w:spacing w:after="120"/>
      </w:pPr>
    </w:p>
    <w:p>
      <w:pPr>
        <w:spacing w:before="0" w:after="120" w:line="360" w:lineRule="auto"/>
        <w:ind w:firstLine="567"/>
        <w:jc w:val="both"/>
      </w:pPr>
      <w:r>
        <w:t xml:space="preserve">Yukarıdaki açıklamalar ve tespit edilen hususlar ile ilgili mevzuat hükümlerinden hareketle; mükellef kurum tarafından kullanılan söz konusu faturalara isabet eden ve ilgili dönem katma değer vergisi beyannamelerinde indirim konusu yapılmış olan 3.619,20 TL tutarındaki katma değer vergisinin indiriminin reddedilmesi ve buna göre ilgili dönem beyanlarının düzeltilmesi gerekmektedir.</w:t>
      </w:r>
    </w:p>
    <w:p>
      <w:pPr>
        <w:spacing w:before="180" w:after="120" w:line="360" w:lineRule="auto"/>
        <w:jc w:val="left"/>
      </w:pPr>
      <w:r>
        <w:rPr>
          <w:b/>
        </w:rPr>
        <w:t xml:space="preserve">C- İlgili Mevzuat</w:t>
      </w:r>
    </w:p>
    <w:p>
      <w:pPr>
        <w:spacing w:before="120" w:after="40" w:line="360" w:lineRule="auto"/>
        <w:jc w:val="left"/>
      </w:pPr>
      <w:r>
        <w:rPr>
          <w:b/>
        </w:rPr>
        <w:t xml:space="preserve">KDV İndiriminin Üç Şartı (KDVK md. 29, 34 ve VUK md. 3)</w:t>
      </w:r>
    </w:p>
    <w:p>
      <w:pPr>
        <w:spacing w:before="0" w:after="120" w:line="360" w:lineRule="auto"/>
        <w:ind w:firstLine="567"/>
        <w:jc w:val="both"/>
      </w:pPr>
      <w:r>
        <w:rPr>
          <w:i/>
        </w:rPr>
        <w:t xml:space="preserve">“Bir mal teslimi veya hizmet ifasına ilişkin katma değer vergisinin indirim konusu yapılabilmesi için; gerçek bir mal tesliminin veya hizmet ifasının bulunması, indirim konusu yapılacak katma değer vergisinin fatura ve benzeri vesikalarda ayrıca gösterilmesi ve bu vesikaların yasal defterlere kaydedilmesi şarttır. İndirim mekanizmasının sağlıklı işlemesi bu üç şartın bir arada gerçekleşmesine bağlıdır.”</w:t>
      </w:r>
    </w:p>
    <w:p>
      <w:pPr>
        <w:spacing w:before="120" w:after="40" w:line="360" w:lineRule="auto"/>
        <w:jc w:val="left"/>
      </w:pPr>
      <w:r>
        <w:rPr>
          <w:b/>
        </w:rPr>
        <w:t xml:space="preserve">3065 sayılı KDV Kanunu md. 29 — Vergi İndirimi</w:t>
      </w:r>
    </w:p>
    <w:p>
      <w:pPr>
        <w:spacing w:before="0" w:after="120" w:line="360" w:lineRule="auto"/>
        <w:ind w:firstLine="567"/>
        <w:jc w:val="both"/>
      </w:pPr>
      <w:r>
        <w:rPr>
          <w:i/>
        </w:rPr>
        <w:t xml:space="preserve">“Mükellefler, yaptıkları vergiye tabi işlemler üzerinden hesaplanan katma değer vergisinden, bu Kanunda aksine hüküm olmadıkça, faaliyetlerine ilişkin olarak kendilerine yapılan teslim ve hizmetler dolayısıyla hesaplayarak düzenledikleri fatura ve benzeri vesikalarda gösterilen katma değer vergisini indirebilirler.”</w:t>
      </w:r>
    </w:p>
    <w:p>
      <w:pPr>
        <w:spacing w:before="120" w:after="40" w:line="360" w:lineRule="auto"/>
        <w:jc w:val="left"/>
      </w:pPr>
      <w:r>
        <w:rPr>
          <w:b/>
        </w:rPr>
        <w:t xml:space="preserve">3065 sayılı KDV Kanunu md. 34 — İndirimin Belgelendirilmesi</w:t>
      </w:r>
    </w:p>
    <w:p>
      <w:pPr>
        <w:spacing w:before="0" w:after="120" w:line="360" w:lineRule="auto"/>
        <w:ind w:firstLine="567"/>
        <w:jc w:val="both"/>
      </w:pPr>
      <w:r>
        <w:rPr>
          <w:i/>
        </w:rPr>
        <w:t xml:space="preserve">“Yurt içinden sağlanan veya ithal olunan mal ve hizmetlere ait Katma Değer Vergisi, alış faturası veya benzeri vesikalar ve gümrük makbuzu üzerinden ayrıca gösterilmek ve bu vesikalar kanuni defterlere kaydedilmek şartıyla indirilebilir.”</w:t>
      </w:r>
    </w:p>
    <w:p>
      <w:pPr>
        <w:spacing w:before="120" w:after="40" w:line="360" w:lineRule="auto"/>
        <w:jc w:val="left"/>
      </w:pPr>
      <w:r>
        <w:rPr>
          <w:b/>
        </w:rPr>
        <w:t xml:space="preserve">213 sayılı VUK md. 3/B — İspat</w:t>
      </w:r>
    </w:p>
    <w:p>
      <w:pPr>
        <w:spacing w:before="0" w:after="120" w:line="360" w:lineRule="auto"/>
        <w:ind w:firstLine="567"/>
        <w:jc w:val="both"/>
      </w:pPr>
      <w:r>
        <w:rPr>
          <w:i/>
        </w:rPr>
        <w:t xml:space="preserve">“Vergilendirmede vergiyi doğuran olay ve bu olaya ilişkin muamelelerin gerçek mahiyeti esastır. Vergiyi doğuran olay ve bu olaya ilişkin muamelelerin gerçek mahiyeti yemin hariç her türlü delille ispatlanabilir.”</w:t>
      </w:r>
    </w:p>
    <w:p>
      <w:pPr>
        <w:spacing w:before="120" w:after="40" w:line="360" w:lineRule="auto"/>
        <w:jc w:val="left"/>
      </w:pPr>
      <w:r>
        <w:rPr>
          <w:b/>
        </w:rPr>
        <w:t xml:space="preserve">213 sayılı VUK md. 227 — Tevsik Zorunluluğu</w:t>
      </w:r>
    </w:p>
    <w:p>
      <w:pPr>
        <w:spacing w:before="0" w:after="120" w:line="360" w:lineRule="auto"/>
        <w:ind w:firstLine="567"/>
        <w:jc w:val="both"/>
      </w:pPr>
      <w:r>
        <w:rPr>
          <w:i/>
        </w:rPr>
        <w:t xml:space="preserve">“Bu kanunda aksine hüküm olmadıkça bu kanuna göre tutulan ve üçüncü şahıslarla olan münasebet ve muamelelere ait olan kayıtların tevsiki mecburidir.”</w:t>
      </w:r>
    </w:p>
    <w:p>
      <w:pPr>
        <w:spacing w:before="120" w:after="40" w:line="360" w:lineRule="auto"/>
        <w:jc w:val="left"/>
      </w:pPr>
      <w:r>
        <w:rPr>
          <w:b/>
        </w:rPr>
        <w:t xml:space="preserve">213 sayılı VUK md. 359 — Kaçakçılık Suçları ve Cezaları</w:t>
      </w:r>
    </w:p>
    <w:p>
      <w:pPr>
        <w:spacing w:before="0" w:after="120" w:line="360" w:lineRule="auto"/>
        <w:ind w:firstLine="567"/>
        <w:jc w:val="both"/>
      </w:pPr>
      <w:r>
        <w:rPr>
          <w:i/>
        </w:rPr>
        <w:t xml:space="preserve">“Vergi kanunları uyarınca tutulan veya düzenlenen ve saklama ve ibraz mecburiyeti bulunan defter, kayıt ve belgeleri yok edenler veya defter sahifelerini yok ederek yerine başka yapraklar koyanlar veya hiç yaprak koymayanlar veya belgelerin asıl veya suretlerini tamamen veya kısmen sahte olarak düzenleyenler veya bu belgeleri kullananlar hakkında hapis cezası hükmolunur. Gerçek bir muamele veya durum olmadığı halde bunlar varmış gibi düzenlenen belge, sahte belgedir.”</w:t>
      </w:r>
    </w:p>
    <w:p>
      <w:pPr>
        <w:spacing w:before="120" w:after="40" w:line="360" w:lineRule="auto"/>
        <w:jc w:val="left"/>
      </w:pPr>
      <w:r>
        <w:rPr>
          <w:b/>
        </w:rPr>
        <w:t xml:space="preserve">Danıştay Kararları — Sahte Belgeye Dayalı KDV İndirimi</w:t>
      </w:r>
    </w:p>
    <w:p>
      <w:pPr>
        <w:spacing w:before="0" w:after="120" w:line="360" w:lineRule="auto"/>
        <w:ind w:firstLine="567"/>
        <w:jc w:val="both"/>
      </w:pPr>
      <w:r>
        <w:rPr>
          <w:i/>
        </w:rPr>
        <w:t xml:space="preserve">“Danıştay Vergi Dava Daireleri Genel Kurulu ile Danıştay 3., 4., 7., 9. ve 11. Daire kararlarında; yalnızca şekil şartları yerine getirilerek düzenlenen, gerçek bir mal teslimi veya hizmet ifasına dayanmayan faturalarda gösterilen katma değer vergisinin indirim konusu yapılamayacağı, indirim müessesesinin işleyebilmesi için verginin gerçekten yüklenilmiş olması gerektiği kabul edilmiştir.”</w:t>
      </w:r>
    </w:p>
    <w:p>
      <w:pPr>
        <w:spacing w:before="0" w:after="120" w:line="360" w:lineRule="auto"/>
        <w:ind w:firstLine="567"/>
        <w:jc w:val="both"/>
      </w:pPr>
      <w:r>
        <w:t xml:space="preserve">Yukarıda açıklandığı üzere, sahte belgelere dayanılarak indirim konusu yapılan katma değer vergilerinin, indirim konusu yapıldıkları dönemlere ait indirimlerden tenzili gerekmektedir. Bu doğrultuda ilgili dönem beyanlarından çıkarılacak tutarlar aşağıdaki tabloda gösterilmiştir.</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89"/>
        <w:gridCol w:w="1511"/>
        <w:gridCol w:w="2456"/>
        <w:gridCol w:w="3782"/>
      </w:tblGrid>
      <w:tr>
        <w:trPr>
          <w:tblHeader/>
        </w:trPr>
        <w:tc>
          <w:tcPr>
            <w:tcW w:w="1889" w:type="dxa"/>
            <w:shd w:val="clear" w:color="auto" w:fill="D9D9D9"/>
            <w:vAlign w:val="center"/>
          </w:tcPr>
          <w:p>
            <w:pPr>
              <w:spacing w:before="40" w:after="40" w:line="240" w:lineRule="auto"/>
              <w:jc w:val="left"/>
            </w:pPr>
            <w:r>
              <w:rPr>
                <w:b/>
                <w:sz w:val="18"/>
                <w:szCs w:val="18"/>
              </w:rPr>
              <w:t xml:space="preserve">Dönemi</w:t>
            </w:r>
            <w:r>
              <w:rPr>
                <w:b/>
                <w:sz w:val="18"/>
                <w:szCs w:val="18"/>
              </w:rPr>
              <w:br/>
            </w:r>
            <w:r>
              <w:rPr>
                <w:b/>
                <w:sz w:val="18"/>
                <w:szCs w:val="18"/>
              </w:rPr>
              <w:t xml:space="preserve">2023</w:t>
            </w:r>
          </w:p>
        </w:tc>
        <w:tc>
          <w:tcPr>
            <w:tcW w:w="1511" w:type="dxa"/>
            <w:shd w:val="clear" w:color="auto" w:fill="D9D9D9"/>
            <w:vAlign w:val="center"/>
          </w:tcPr>
          <w:p>
            <w:pPr>
              <w:spacing w:before="40" w:after="40" w:line="240" w:lineRule="auto"/>
              <w:jc w:val="center"/>
            </w:pPr>
            <w:r>
              <w:rPr>
                <w:b/>
                <w:sz w:val="18"/>
                <w:szCs w:val="18"/>
              </w:rPr>
              <w:t xml:space="preserve">Fatura</w:t>
            </w:r>
            <w:r>
              <w:rPr>
                <w:b/>
                <w:sz w:val="18"/>
                <w:szCs w:val="18"/>
              </w:rPr>
              <w:br/>
            </w:r>
            <w:r>
              <w:rPr>
                <w:b/>
                <w:sz w:val="18"/>
                <w:szCs w:val="18"/>
              </w:rPr>
              <w:t xml:space="preserve">Adedi</w:t>
            </w:r>
          </w:p>
        </w:tc>
        <w:tc>
          <w:tcPr>
            <w:tcW w:w="2456" w:type="dxa"/>
            <w:shd w:val="clear" w:color="auto" w:fill="D9D9D9"/>
            <w:vAlign w:val="center"/>
          </w:tcPr>
          <w:p>
            <w:pPr>
              <w:spacing w:before="40" w:after="40" w:line="240" w:lineRule="auto"/>
              <w:jc w:val="right"/>
            </w:pPr>
            <w:r>
              <w:rPr>
                <w:b/>
                <w:sz w:val="18"/>
                <w:szCs w:val="18"/>
              </w:rPr>
              <w:t xml:space="preserve">Matrah</w:t>
            </w:r>
          </w:p>
        </w:tc>
        <w:tc>
          <w:tcPr>
            <w:tcW w:w="3782" w:type="dxa"/>
            <w:shd w:val="clear" w:color="auto" w:fill="D9D9D9"/>
            <w:vAlign w:val="center"/>
          </w:tcPr>
          <w:p>
            <w:pPr>
              <w:spacing w:before="40" w:after="40" w:line="240" w:lineRule="auto"/>
              <w:jc w:val="right"/>
            </w:pPr>
            <w:r>
              <w:rPr>
                <w:b/>
                <w:sz w:val="18"/>
                <w:szCs w:val="18"/>
              </w:rPr>
              <w:t xml:space="preserve">İndirilecek KDV Hesabından</w:t>
            </w:r>
            <w:r>
              <w:rPr>
                <w:b/>
                <w:sz w:val="18"/>
                <w:szCs w:val="18"/>
              </w:rPr>
              <w:br/>
            </w:r>
            <w:r>
              <w:rPr>
                <w:b/>
                <w:sz w:val="18"/>
                <w:szCs w:val="18"/>
              </w:rPr>
              <w:t xml:space="preserve">Çıkarılacak Tutar</w:t>
            </w:r>
          </w:p>
        </w:tc>
      </w:tr>
      <w:tr>
        <w:tc>
          <w:tcPr>
            <w:tcW w:w="1889" w:type="dxa"/>
            <w:vAlign w:val="center"/>
          </w:tcPr>
          <w:p>
            <w:pPr>
              <w:spacing w:before="40" w:after="40" w:line="240" w:lineRule="auto"/>
              <w:jc w:val="left"/>
            </w:pPr>
            <w:r>
              <w:rPr>
                <w:sz w:val="18"/>
                <w:szCs w:val="18"/>
              </w:rPr>
              <w:t xml:space="preserve">Mart</w:t>
            </w:r>
          </w:p>
        </w:tc>
        <w:tc>
          <w:tcPr>
            <w:tcW w:w="1511" w:type="dxa"/>
            <w:vAlign w:val="center"/>
          </w:tcPr>
          <w:p>
            <w:pPr>
              <w:spacing w:before="40" w:after="40" w:line="240" w:lineRule="auto"/>
              <w:jc w:val="center"/>
            </w:pPr>
            <w:r>
              <w:rPr>
                <w:sz w:val="18"/>
                <w:szCs w:val="18"/>
              </w:rPr>
              <w:t xml:space="preserve">1</w:t>
            </w:r>
          </w:p>
        </w:tc>
        <w:tc>
          <w:tcPr>
            <w:tcW w:w="2456" w:type="dxa"/>
            <w:vAlign w:val="center"/>
          </w:tcPr>
          <w:p>
            <w:pPr>
              <w:spacing w:before="40" w:after="40" w:line="240" w:lineRule="auto"/>
              <w:jc w:val="right"/>
            </w:pPr>
            <w:r>
              <w:rPr>
                <w:sz w:val="18"/>
                <w:szCs w:val="18"/>
              </w:rPr>
              <w:t xml:space="preserve">18.096,00</w:t>
            </w:r>
          </w:p>
        </w:tc>
        <w:tc>
          <w:tcPr>
            <w:tcW w:w="3782" w:type="dxa"/>
            <w:vAlign w:val="center"/>
          </w:tcPr>
          <w:p>
            <w:pPr>
              <w:spacing w:before="40" w:after="40" w:line="240" w:lineRule="auto"/>
              <w:jc w:val="right"/>
            </w:pPr>
            <w:r>
              <w:rPr>
                <w:sz w:val="18"/>
                <w:szCs w:val="18"/>
              </w:rPr>
              <w:t xml:space="preserve">3.619,20</w:t>
            </w:r>
          </w:p>
        </w:tc>
      </w:tr>
      <w:tr>
        <w:tc>
          <w:tcPr>
            <w:tcW w:w="1889" w:type="dxa"/>
            <w:vAlign w:val="center"/>
          </w:tcPr>
          <w:p>
            <w:pPr>
              <w:spacing w:before="40" w:after="40" w:line="240" w:lineRule="auto"/>
              <w:jc w:val="left"/>
            </w:pPr>
            <w:r>
              <w:rPr>
                <w:sz w:val="18"/>
                <w:szCs w:val="18"/>
              </w:rPr>
              <w:t xml:space="preserve">Haziran</w:t>
            </w:r>
          </w:p>
        </w:tc>
        <w:tc>
          <w:tcPr>
            <w:tcW w:w="1511" w:type="dxa"/>
            <w:vAlign w:val="center"/>
          </w:tcPr>
          <w:p>
            <w:pPr>
              <w:spacing w:before="40" w:after="40" w:line="240" w:lineRule="auto"/>
              <w:jc w:val="center"/>
            </w:pPr>
            <w:r>
              <w:rPr>
                <w:sz w:val="18"/>
                <w:szCs w:val="18"/>
              </w:rPr>
              <w:t xml:space="preserve">1</w:t>
            </w:r>
          </w:p>
        </w:tc>
        <w:tc>
          <w:tcPr>
            <w:tcW w:w="2456" w:type="dxa"/>
            <w:vAlign w:val="center"/>
          </w:tcPr>
          <w:p>
            <w:pPr>
              <w:spacing w:before="40" w:after="40" w:line="240" w:lineRule="auto"/>
              <w:jc w:val="right"/>
            </w:pPr>
            <w:r>
              <w:rPr>
                <w:sz w:val="18"/>
                <w:szCs w:val="18"/>
              </w:rPr>
              <w:t xml:space="preserve">240.779,67</w:t>
            </w:r>
          </w:p>
        </w:tc>
        <w:tc>
          <w:tcPr>
            <w:tcW w:w="3782" w:type="dxa"/>
            <w:vAlign w:val="center"/>
          </w:tcPr>
          <w:p>
            <w:pPr>
              <w:spacing w:before="40" w:after="40" w:line="240" w:lineRule="auto"/>
              <w:jc w:val="right"/>
            </w:pPr>
            <w:r>
              <w:rPr>
                <w:sz w:val="18"/>
                <w:szCs w:val="18"/>
              </w:rPr>
              <w:t xml:space="preserve">48.155,93</w:t>
            </w:r>
          </w:p>
        </w:tc>
      </w:tr>
      <w:tr>
        <w:tc>
          <w:tcPr>
            <w:tcW w:w="1889" w:type="dxa"/>
            <w:shd w:val="clear" w:color="auto" w:fill="EDEDED"/>
            <w:vAlign w:val="center"/>
          </w:tcPr>
          <w:p>
            <w:pPr>
              <w:spacing w:before="40" w:after="40" w:line="240" w:lineRule="auto"/>
              <w:jc w:val="left"/>
            </w:pPr>
            <w:r>
              <w:rPr>
                <w:b/>
                <w:sz w:val="18"/>
                <w:szCs w:val="18"/>
              </w:rPr>
              <w:t xml:space="preserve">TOPLAM</w:t>
            </w:r>
          </w:p>
        </w:tc>
        <w:tc>
          <w:tcPr>
            <w:tcW w:w="1511" w:type="dxa"/>
            <w:shd w:val="clear" w:color="auto" w:fill="EDEDED"/>
            <w:vAlign w:val="center"/>
          </w:tcPr>
          <w:p>
            <w:pPr>
              <w:spacing w:before="40" w:after="40" w:line="240" w:lineRule="auto"/>
              <w:jc w:val="center"/>
            </w:pPr>
            <w:r>
              <w:rPr>
                <w:b/>
                <w:sz w:val="18"/>
                <w:szCs w:val="18"/>
              </w:rPr>
              <w:t xml:space="preserve">2</w:t>
            </w:r>
          </w:p>
        </w:tc>
        <w:tc>
          <w:tcPr>
            <w:tcW w:w="2456" w:type="dxa"/>
            <w:shd w:val="clear" w:color="auto" w:fill="EDEDED"/>
            <w:vAlign w:val="center"/>
          </w:tcPr>
          <w:p>
            <w:pPr>
              <w:spacing w:before="40" w:after="40" w:line="240" w:lineRule="auto"/>
              <w:jc w:val="right"/>
            </w:pPr>
            <w:r>
              <w:rPr>
                <w:b/>
                <w:sz w:val="18"/>
                <w:szCs w:val="18"/>
              </w:rPr>
              <w:t xml:space="preserve">258.875,67</w:t>
            </w:r>
          </w:p>
        </w:tc>
        <w:tc>
          <w:tcPr>
            <w:tcW w:w="3782" w:type="dxa"/>
            <w:shd w:val="clear" w:color="auto" w:fill="EDEDED"/>
            <w:vAlign w:val="center"/>
          </w:tcPr>
          <w:p>
            <w:pPr>
              <w:spacing w:before="40" w:after="40" w:line="240" w:lineRule="auto"/>
              <w:jc w:val="right"/>
            </w:pPr>
            <w:r>
              <w:rPr>
                <w:b/>
                <w:sz w:val="18"/>
                <w:szCs w:val="18"/>
              </w:rPr>
              <w:t xml:space="preserve">51.775,13</w:t>
            </w:r>
          </w:p>
        </w:tc>
      </w:tr>
    </w:tbl>
    <w:p>
      <w:pPr>
        <w:spacing w:after="120"/>
      </w:pPr>
    </w:p>
    <w:p>
      <w:pPr>
        <w:spacing w:before="180" w:after="120" w:line="360" w:lineRule="auto"/>
        <w:jc w:val="left"/>
      </w:pPr>
      <w:r>
        <w:rPr>
          <w:b/>
        </w:rPr>
        <w:t xml:space="preserve">D- Tespit Edilen Hususların İlgili Mevzuat Çerçevesinde Değerlendirilmesi</w:t>
      </w:r>
    </w:p>
    <w:p>
      <w:pPr>
        <w:spacing w:before="180" w:after="120" w:line="360" w:lineRule="auto"/>
        <w:jc w:val="left"/>
      </w:pPr>
      <w:r>
        <w:rPr>
          <w:b/>
        </w:rPr>
        <w:t xml:space="preserve">1- Sahte Belge Kullanımının Katma Değer Vergisi Yönünden Değerlendirilmesi</w:t>
      </w:r>
    </w:p>
    <w:p>
      <w:pPr>
        <w:spacing w:before="0" w:after="120" w:line="360" w:lineRule="auto"/>
        <w:ind w:firstLine="567"/>
        <w:jc w:val="both"/>
      </w:pPr>
      <w:r>
        <w:t xml:space="preserve">Yasanın açık hükümlerinden anlaşılacağı üzere, katma değer vergisinin indirim konusu yapılabilmesi için gerçek bir teslim veya hizmet ifasının bulunması gerekmektedir. Raporun yukarıdaki bölümlerinde yapılan araştırma ve incelemeler ile ortaya konan deliller çerçevesinde, mükellef kurumun 2023 hesap döneminde yasal defterlerine kaydettiği ve indirim konusu yaptığı toplam 51.775,13 TL tutarındaki katma değer vergisinin sahte belgelere dayandığı ve indiriminin kabul edilemeyeceği sonucuna ulaşılmıştır.</w:t>
      </w:r>
    </w:p>
    <w:p>
      <w:pPr>
        <w:spacing w:before="0" w:after="120" w:line="360" w:lineRule="auto"/>
        <w:ind w:firstLine="567"/>
        <w:jc w:val="both"/>
      </w:pPr>
      <w:r>
        <w:t xml:space="preserve">Yapılan düzeltmeler sonucunda beyanların aşağıdaki gibi olması gerekmektedir.</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64"/>
        <w:gridCol w:w="1224"/>
        <w:gridCol w:w="1224"/>
        <w:gridCol w:w="1224"/>
        <w:gridCol w:w="1224"/>
        <w:gridCol w:w="1224"/>
        <w:gridCol w:w="1224"/>
        <w:gridCol w:w="1230"/>
      </w:tblGrid>
      <w:tr>
        <w:trPr>
          <w:tblHeader/>
        </w:trPr>
        <w:tc>
          <w:tcPr>
            <w:tcW w:w="1064" w:type="dxa"/>
            <w:shd w:val="clear" w:color="auto" w:fill="D9D9D9"/>
            <w:vAlign w:val="center"/>
          </w:tcPr>
          <w:p>
            <w:pPr>
              <w:spacing w:before="40" w:after="40" w:line="240" w:lineRule="auto"/>
              <w:jc w:val="left"/>
            </w:pPr>
            <w:r>
              <w:rPr>
                <w:b/>
                <w:sz w:val="18"/>
                <w:szCs w:val="18"/>
              </w:rPr>
              <w:t xml:space="preserve">Dönemi</w:t>
            </w:r>
            <w:r>
              <w:rPr>
                <w:b/>
                <w:sz w:val="18"/>
                <w:szCs w:val="18"/>
              </w:rPr>
              <w:br/>
            </w:r>
            <w:r>
              <w:rPr>
                <w:b/>
                <w:sz w:val="18"/>
                <w:szCs w:val="18"/>
              </w:rPr>
              <w:t xml:space="preserve">2023</w:t>
            </w:r>
          </w:p>
        </w:tc>
        <w:tc>
          <w:tcPr>
            <w:tcW w:w="1224" w:type="dxa"/>
            <w:shd w:val="clear" w:color="auto" w:fill="D9D9D9"/>
            <w:vAlign w:val="center"/>
          </w:tcPr>
          <w:p>
            <w:pPr>
              <w:spacing w:before="40" w:after="40" w:line="240" w:lineRule="auto"/>
              <w:jc w:val="right"/>
            </w:pPr>
            <w:r>
              <w:rPr>
                <w:b/>
                <w:sz w:val="18"/>
                <w:szCs w:val="18"/>
              </w:rPr>
              <w:t xml:space="preserve">KDV Matrahı</w:t>
            </w:r>
          </w:p>
        </w:tc>
        <w:tc>
          <w:tcPr>
            <w:tcW w:w="1224" w:type="dxa"/>
            <w:shd w:val="clear" w:color="auto" w:fill="D9D9D9"/>
            <w:vAlign w:val="center"/>
          </w:tcPr>
          <w:p>
            <w:pPr>
              <w:spacing w:before="40" w:after="40" w:line="240" w:lineRule="auto"/>
              <w:jc w:val="right"/>
            </w:pPr>
            <w:r>
              <w:rPr>
                <w:b/>
                <w:sz w:val="18"/>
                <w:szCs w:val="18"/>
              </w:rPr>
              <w:t xml:space="preserve">Hspl. KDV</w:t>
            </w:r>
          </w:p>
        </w:tc>
        <w:tc>
          <w:tcPr>
            <w:tcW w:w="1224" w:type="dxa"/>
            <w:shd w:val="clear" w:color="auto" w:fill="D9D9D9"/>
            <w:vAlign w:val="center"/>
          </w:tcPr>
          <w:p>
            <w:pPr>
              <w:spacing w:before="40" w:after="40" w:line="240" w:lineRule="auto"/>
              <w:jc w:val="right"/>
            </w:pPr>
            <w:r>
              <w:rPr>
                <w:b/>
                <w:sz w:val="18"/>
                <w:szCs w:val="18"/>
              </w:rPr>
              <w:t xml:space="preserve">Önc. Dön. Dev. KDV</w:t>
            </w:r>
          </w:p>
        </w:tc>
        <w:tc>
          <w:tcPr>
            <w:tcW w:w="1224" w:type="dxa"/>
            <w:shd w:val="clear" w:color="auto" w:fill="D9D9D9"/>
            <w:vAlign w:val="center"/>
          </w:tcPr>
          <w:p>
            <w:pPr>
              <w:spacing w:before="40" w:after="40" w:line="240" w:lineRule="auto"/>
              <w:jc w:val="right"/>
            </w:pPr>
            <w:r>
              <w:rPr>
                <w:b/>
                <w:sz w:val="18"/>
                <w:szCs w:val="18"/>
              </w:rPr>
              <w:t xml:space="preserve">Bu Dön. İndl. KDV</w:t>
            </w:r>
          </w:p>
        </w:tc>
        <w:tc>
          <w:tcPr>
            <w:tcW w:w="1224" w:type="dxa"/>
            <w:shd w:val="clear" w:color="auto" w:fill="D9D9D9"/>
            <w:vAlign w:val="center"/>
          </w:tcPr>
          <w:p>
            <w:pPr>
              <w:spacing w:before="40" w:after="40" w:line="240" w:lineRule="auto"/>
              <w:jc w:val="right"/>
            </w:pPr>
            <w:r>
              <w:rPr>
                <w:b/>
                <w:sz w:val="18"/>
                <w:szCs w:val="18"/>
              </w:rPr>
              <w:t xml:space="preserve">İndirimler Toplamı</w:t>
            </w:r>
          </w:p>
        </w:tc>
        <w:tc>
          <w:tcPr>
            <w:tcW w:w="1224" w:type="dxa"/>
            <w:shd w:val="clear" w:color="auto" w:fill="D9D9D9"/>
            <w:vAlign w:val="center"/>
          </w:tcPr>
          <w:p>
            <w:pPr>
              <w:spacing w:before="40" w:after="40" w:line="240" w:lineRule="auto"/>
              <w:jc w:val="right"/>
            </w:pPr>
            <w:r>
              <w:rPr>
                <w:b/>
                <w:sz w:val="18"/>
                <w:szCs w:val="18"/>
              </w:rPr>
              <w:t xml:space="preserve">Ödenecek KDV</w:t>
            </w:r>
          </w:p>
        </w:tc>
        <w:tc>
          <w:tcPr>
            <w:tcW w:w="1230" w:type="dxa"/>
            <w:shd w:val="clear" w:color="auto" w:fill="D9D9D9"/>
            <w:vAlign w:val="center"/>
          </w:tcPr>
          <w:p>
            <w:pPr>
              <w:spacing w:before="40" w:after="40" w:line="240" w:lineRule="auto"/>
              <w:jc w:val="right"/>
            </w:pPr>
            <w:r>
              <w:rPr>
                <w:b/>
                <w:sz w:val="18"/>
                <w:szCs w:val="18"/>
              </w:rPr>
              <w:t xml:space="preserve">Son. Dön. Dev. KDV</w:t>
            </w:r>
          </w:p>
        </w:tc>
      </w:tr>
      <w:tr>
        <w:tc>
          <w:tcPr>
            <w:tcW w:w="1064" w:type="dxa"/>
            <w:vAlign w:val="center"/>
          </w:tcPr>
          <w:p>
            <w:pPr>
              <w:spacing w:before="40" w:after="40" w:line="240" w:lineRule="auto"/>
              <w:jc w:val="left"/>
            </w:pPr>
            <w:r>
              <w:rPr>
                <w:sz w:val="18"/>
                <w:szCs w:val="18"/>
              </w:rPr>
              <w:t xml:space="preserve">Ocak</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Şubat</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Mart</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91.380,80</w:t>
            </w:r>
          </w:p>
        </w:tc>
        <w:tc>
          <w:tcPr>
            <w:tcW w:w="1224" w:type="dxa"/>
            <w:vAlign w:val="center"/>
          </w:tcPr>
          <w:p>
            <w:pPr>
              <w:spacing w:before="40" w:after="40" w:line="240" w:lineRule="auto"/>
              <w:jc w:val="right"/>
            </w:pPr>
            <w:r>
              <w:rPr>
                <w:sz w:val="18"/>
                <w:szCs w:val="18"/>
              </w:rPr>
              <w:t xml:space="preserve">91.380,80</w:t>
            </w:r>
          </w:p>
        </w:tc>
        <w:tc>
          <w:tcPr>
            <w:tcW w:w="1224" w:type="dxa"/>
            <w:vAlign w:val="center"/>
          </w:tcPr>
          <w:p>
            <w:pPr>
              <w:spacing w:before="40" w:after="40" w:line="240" w:lineRule="auto"/>
              <w:jc w:val="right"/>
            </w:pPr>
            <w:r>
              <w:rPr>
                <w:sz w:val="18"/>
                <w:szCs w:val="18"/>
              </w:rPr>
              <w:t xml:space="preserve">8.619,20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Nisan</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Mayıs</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Haziran</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46.844,07</w:t>
            </w:r>
          </w:p>
        </w:tc>
        <w:tc>
          <w:tcPr>
            <w:tcW w:w="1224" w:type="dxa"/>
            <w:vAlign w:val="center"/>
          </w:tcPr>
          <w:p>
            <w:pPr>
              <w:spacing w:before="40" w:after="40" w:line="240" w:lineRule="auto"/>
              <w:jc w:val="right"/>
            </w:pPr>
            <w:r>
              <w:rPr>
                <w:sz w:val="18"/>
                <w:szCs w:val="18"/>
              </w:rPr>
              <w:t xml:space="preserve">46.844,07</w:t>
            </w:r>
          </w:p>
        </w:tc>
        <w:tc>
          <w:tcPr>
            <w:tcW w:w="1224" w:type="dxa"/>
            <w:vAlign w:val="center"/>
          </w:tcPr>
          <w:p>
            <w:pPr>
              <w:spacing w:before="40" w:after="40" w:line="240" w:lineRule="auto"/>
              <w:jc w:val="right"/>
            </w:pPr>
            <w:r>
              <w:rPr>
                <w:sz w:val="18"/>
                <w:szCs w:val="18"/>
              </w:rPr>
              <w:t xml:space="preserve">53.155,93</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Temmuz</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Ağustos</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Eylül</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Ekim</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Kasım</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Aralık</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shd w:val="clear" w:color="auto" w:fill="EDEDED"/>
            <w:vAlign w:val="center"/>
          </w:tcPr>
          <w:p>
            <w:pPr>
              <w:spacing w:before="40" w:after="40" w:line="240" w:lineRule="auto"/>
              <w:jc w:val="left"/>
            </w:pPr>
            <w:r>
              <w:rPr>
                <w:b/>
                <w:sz w:val="18"/>
                <w:szCs w:val="18"/>
              </w:rPr>
              <w:t xml:space="preserve">Toplam:</w:t>
            </w:r>
          </w:p>
        </w:tc>
        <w:tc>
          <w:tcPr>
            <w:tcW w:w="1224" w:type="dxa"/>
            <w:shd w:val="clear" w:color="auto" w:fill="EDEDED"/>
            <w:vAlign w:val="center"/>
          </w:tcPr>
          <w:p>
            <w:pPr>
              <w:spacing w:before="40" w:after="40" w:line="240" w:lineRule="auto"/>
              <w:jc w:val="right"/>
            </w:pPr>
            <w:r>
              <w:rPr>
                <w:b/>
                <w:sz w:val="18"/>
                <w:szCs w:val="18"/>
              </w:rPr>
              <w:t xml:space="preserve">6.000.000,00</w:t>
            </w:r>
          </w:p>
        </w:tc>
        <w:tc>
          <w:tcPr>
            <w:tcW w:w="1224" w:type="dxa"/>
            <w:shd w:val="clear" w:color="auto" w:fill="EDEDED"/>
            <w:vAlign w:val="center"/>
          </w:tcPr>
          <w:p>
            <w:pPr>
              <w:spacing w:before="40" w:after="40" w:line="240" w:lineRule="auto"/>
              <w:jc w:val="right"/>
            </w:pPr>
            <w:r>
              <w:rPr>
                <w:b/>
                <w:sz w:val="18"/>
                <w:szCs w:val="18"/>
              </w:rPr>
              <w:t xml:space="preserve">1.200.000,00</w:t>
            </w:r>
          </w:p>
        </w:tc>
        <w:tc>
          <w:tcPr>
            <w:tcW w:w="1224" w:type="dxa"/>
            <w:shd w:val="clear" w:color="auto" w:fill="EDEDED"/>
            <w:vAlign w:val="center"/>
          </w:tcPr>
          <w:p>
            <w:pPr>
              <w:spacing w:before="40" w:after="40" w:line="240" w:lineRule="auto"/>
              <w:jc w:val="right"/>
            </w:pPr>
            <w:r>
              <w:rPr>
                <w:b/>
                <w:sz w:val="18"/>
                <w:szCs w:val="18"/>
              </w:rPr>
              <w:t xml:space="preserve">0,00</w:t>
            </w:r>
          </w:p>
        </w:tc>
        <w:tc>
          <w:tcPr>
            <w:tcW w:w="1224" w:type="dxa"/>
            <w:shd w:val="clear" w:color="auto" w:fill="EDEDED"/>
            <w:vAlign w:val="center"/>
          </w:tcPr>
          <w:p>
            <w:pPr>
              <w:spacing w:before="40" w:after="40" w:line="240" w:lineRule="auto"/>
              <w:jc w:val="right"/>
            </w:pPr>
            <w:r>
              <w:rPr>
                <w:b/>
                <w:sz w:val="18"/>
                <w:szCs w:val="18"/>
              </w:rPr>
              <w:t xml:space="preserve">1.088.224,87</w:t>
            </w:r>
          </w:p>
        </w:tc>
        <w:tc>
          <w:tcPr>
            <w:tcW w:w="1224" w:type="dxa"/>
            <w:shd w:val="clear" w:color="auto" w:fill="EDEDED"/>
            <w:vAlign w:val="center"/>
          </w:tcPr>
          <w:p>
            <w:pPr>
              <w:spacing w:before="40" w:after="40" w:line="240" w:lineRule="auto"/>
              <w:jc w:val="right"/>
            </w:pPr>
            <w:r>
              <w:rPr>
                <w:b/>
                <w:sz w:val="18"/>
                <w:szCs w:val="18"/>
              </w:rPr>
              <w:t xml:space="preserve">1.088.224,87</w:t>
            </w:r>
          </w:p>
        </w:tc>
        <w:tc>
          <w:tcPr>
            <w:tcW w:w="1224" w:type="dxa"/>
            <w:shd w:val="clear" w:color="auto" w:fill="EDEDED"/>
            <w:vAlign w:val="center"/>
          </w:tcPr>
          <w:p>
            <w:pPr>
              <w:spacing w:before="40" w:after="40" w:line="240" w:lineRule="auto"/>
              <w:jc w:val="right"/>
            </w:pPr>
            <w:r>
              <w:rPr>
                <w:b/>
                <w:sz w:val="18"/>
                <w:szCs w:val="18"/>
              </w:rPr>
              <w:t xml:space="preserve">111.775,13</w:t>
            </w:r>
          </w:p>
        </w:tc>
        <w:tc>
          <w:tcPr>
            <w:tcW w:w="1230" w:type="dxa"/>
            <w:shd w:val="clear" w:color="auto" w:fill="EDEDED"/>
            <w:vAlign w:val="center"/>
          </w:tcPr>
          <w:p>
            <w:pPr>
              <w:spacing w:before="40" w:after="40" w:line="240" w:lineRule="auto"/>
              <w:jc w:val="right"/>
            </w:pPr>
            <w:r>
              <w:rPr>
                <w:b/>
                <w:sz w:val="18"/>
                <w:szCs w:val="18"/>
              </w:rPr>
              <w:t xml:space="preserve">0,00</w:t>
            </w:r>
          </w:p>
        </w:tc>
      </w:tr>
    </w:tbl>
    <w:p>
      <w:pPr>
        <w:spacing w:after="120"/>
      </w:pPr>
    </w:p>
    <w:p>
      <w:pPr>
        <w:spacing w:before="0" w:after="120" w:line="360" w:lineRule="auto"/>
        <w:ind w:firstLine="567"/>
        <w:jc w:val="both"/>
      </w:pPr>
      <w:r>
        <w:t xml:space="preserve">Yapılan düzeltmeler sonucunda ortaya çıkan, ödenmesi gereken katma değer vergisinden beyan edilen tutarın tenzili ile bulunan re’sen tarhı gereken vergi ile iade edilebilir katma değer vergisinin indirilecek katma değer vergisinden mahsubu suretiyle bulunan aranması gereken vergi tutarları aşağıdaki tabloda gösterilmiştir.</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20"/>
        <w:gridCol w:w="1247"/>
        <w:gridCol w:w="1247"/>
        <w:gridCol w:w="1247"/>
        <w:gridCol w:w="1247"/>
        <w:gridCol w:w="1247"/>
        <w:gridCol w:w="1133"/>
        <w:gridCol w:w="1250"/>
      </w:tblGrid>
      <w:tr>
        <w:trPr>
          <w:tblHeader/>
        </w:trPr>
        <w:tc>
          <w:tcPr>
            <w:tcW w:w="1020" w:type="dxa"/>
            <w:shd w:val="clear" w:color="auto" w:fill="D9D9D9"/>
            <w:vAlign w:val="center"/>
          </w:tcPr>
          <w:p>
            <w:pPr>
              <w:spacing w:before="40" w:after="40" w:line="240" w:lineRule="auto"/>
              <w:jc w:val="left"/>
            </w:pPr>
            <w:r>
              <w:rPr>
                <w:b/>
                <w:sz w:val="18"/>
                <w:szCs w:val="18"/>
              </w:rPr>
              <w:t xml:space="preserve">Dönemi</w:t>
            </w:r>
          </w:p>
        </w:tc>
        <w:tc>
          <w:tcPr>
            <w:tcW w:w="1247" w:type="dxa"/>
            <w:shd w:val="clear" w:color="auto" w:fill="D9D9D9"/>
            <w:vAlign w:val="center"/>
          </w:tcPr>
          <w:p>
            <w:pPr>
              <w:spacing w:before="40" w:after="40" w:line="240" w:lineRule="auto"/>
              <w:jc w:val="right"/>
            </w:pPr>
            <w:r>
              <w:rPr>
                <w:b/>
                <w:sz w:val="18"/>
                <w:szCs w:val="18"/>
              </w:rPr>
              <w:t xml:space="preserve">Ödenecek KDV</w:t>
            </w:r>
            <w:r>
              <w:rPr>
                <w:b/>
                <w:sz w:val="18"/>
                <w:szCs w:val="18"/>
              </w:rPr>
              <w:br/>
            </w:r>
            <w:r>
              <w:rPr>
                <w:b/>
                <w:sz w:val="18"/>
                <w:szCs w:val="18"/>
              </w:rPr>
              <w:t xml:space="preserve">Olması Gereken</w:t>
            </w:r>
          </w:p>
        </w:tc>
        <w:tc>
          <w:tcPr>
            <w:tcW w:w="1247" w:type="dxa"/>
            <w:shd w:val="clear" w:color="auto" w:fill="D9D9D9"/>
            <w:vAlign w:val="center"/>
          </w:tcPr>
          <w:p>
            <w:pPr>
              <w:spacing w:before="40" w:after="40" w:line="240" w:lineRule="auto"/>
              <w:jc w:val="right"/>
            </w:pPr>
            <w:r>
              <w:rPr>
                <w:b/>
                <w:sz w:val="18"/>
                <w:szCs w:val="18"/>
              </w:rPr>
              <w:t xml:space="preserve">Ödenecek KDV</w:t>
            </w:r>
            <w:r>
              <w:rPr>
                <w:b/>
                <w:sz w:val="18"/>
                <w:szCs w:val="18"/>
              </w:rPr>
              <w:br/>
            </w:r>
            <w:r>
              <w:rPr>
                <w:b/>
                <w:sz w:val="18"/>
                <w:szCs w:val="18"/>
              </w:rPr>
              <w:t xml:space="preserve">Beyan Edilen</w:t>
            </w:r>
          </w:p>
        </w:tc>
        <w:tc>
          <w:tcPr>
            <w:tcW w:w="1247" w:type="dxa"/>
            <w:shd w:val="clear" w:color="auto" w:fill="D9D9D9"/>
            <w:vAlign w:val="center"/>
          </w:tcPr>
          <w:p>
            <w:pPr>
              <w:spacing w:before="40" w:after="40" w:line="240" w:lineRule="auto"/>
              <w:jc w:val="right"/>
            </w:pPr>
            <w:r>
              <w:rPr>
                <w:b/>
                <w:sz w:val="18"/>
                <w:szCs w:val="18"/>
              </w:rPr>
              <w:t xml:space="preserve">Re’sen Tarhı</w:t>
            </w:r>
            <w:r>
              <w:rPr>
                <w:b/>
                <w:sz w:val="18"/>
                <w:szCs w:val="18"/>
              </w:rPr>
              <w:br/>
            </w:r>
            <w:r>
              <w:rPr>
                <w:b/>
                <w:sz w:val="18"/>
                <w:szCs w:val="18"/>
              </w:rPr>
              <w:t xml:space="preserve">Gereken KDV</w:t>
            </w:r>
          </w:p>
        </w:tc>
        <w:tc>
          <w:tcPr>
            <w:tcW w:w="1247" w:type="dxa"/>
            <w:shd w:val="clear" w:color="auto" w:fill="D9D9D9"/>
            <w:vAlign w:val="center"/>
          </w:tcPr>
          <w:p>
            <w:pPr>
              <w:spacing w:before="40" w:after="40" w:line="240" w:lineRule="auto"/>
              <w:jc w:val="right"/>
            </w:pPr>
            <w:r>
              <w:rPr>
                <w:b/>
                <w:sz w:val="18"/>
                <w:szCs w:val="18"/>
              </w:rPr>
              <w:t xml:space="preserve">İade Edil. KDV</w:t>
            </w:r>
            <w:r>
              <w:rPr>
                <w:b/>
                <w:sz w:val="18"/>
                <w:szCs w:val="18"/>
              </w:rPr>
              <w:br/>
            </w:r>
            <w:r>
              <w:rPr>
                <w:b/>
                <w:sz w:val="18"/>
                <w:szCs w:val="18"/>
              </w:rPr>
              <w:t xml:space="preserve">Olması Gereken</w:t>
            </w:r>
          </w:p>
        </w:tc>
        <w:tc>
          <w:tcPr>
            <w:tcW w:w="1247" w:type="dxa"/>
            <w:shd w:val="clear" w:color="auto" w:fill="D9D9D9"/>
            <w:vAlign w:val="center"/>
          </w:tcPr>
          <w:p>
            <w:pPr>
              <w:spacing w:before="40" w:after="40" w:line="240" w:lineRule="auto"/>
              <w:jc w:val="right"/>
            </w:pPr>
            <w:r>
              <w:rPr>
                <w:b/>
                <w:sz w:val="18"/>
                <w:szCs w:val="18"/>
              </w:rPr>
              <w:t xml:space="preserve">İade Edil. KDV</w:t>
            </w:r>
            <w:r>
              <w:rPr>
                <w:b/>
                <w:sz w:val="18"/>
                <w:szCs w:val="18"/>
              </w:rPr>
              <w:br/>
            </w:r>
            <w:r>
              <w:rPr>
                <w:b/>
                <w:sz w:val="18"/>
                <w:szCs w:val="18"/>
              </w:rPr>
              <w:t xml:space="preserve">Beyan Edilen</w:t>
            </w:r>
          </w:p>
        </w:tc>
        <w:tc>
          <w:tcPr>
            <w:tcW w:w="1133" w:type="dxa"/>
            <w:shd w:val="clear" w:color="auto" w:fill="D9D9D9"/>
            <w:vAlign w:val="center"/>
          </w:tcPr>
          <w:p>
            <w:pPr>
              <w:spacing w:before="40" w:after="40" w:line="240" w:lineRule="auto"/>
              <w:jc w:val="right"/>
            </w:pPr>
            <w:r>
              <w:rPr>
                <w:b/>
                <w:sz w:val="18"/>
                <w:szCs w:val="18"/>
              </w:rPr>
              <w:t xml:space="preserve">Aranması Ger.</w:t>
            </w:r>
            <w:r>
              <w:rPr>
                <w:b/>
                <w:sz w:val="18"/>
                <w:szCs w:val="18"/>
              </w:rPr>
              <w:br/>
            </w:r>
            <w:r>
              <w:rPr>
                <w:b/>
                <w:sz w:val="18"/>
                <w:szCs w:val="18"/>
              </w:rPr>
              <w:t xml:space="preserve">KDV</w:t>
            </w:r>
          </w:p>
        </w:tc>
        <w:tc>
          <w:tcPr>
            <w:tcW w:w="1250" w:type="dxa"/>
            <w:shd w:val="clear" w:color="auto" w:fill="D9D9D9"/>
            <w:vAlign w:val="center"/>
          </w:tcPr>
          <w:p>
            <w:pPr>
              <w:spacing w:before="40" w:after="40" w:line="240" w:lineRule="auto"/>
              <w:jc w:val="right"/>
            </w:pPr>
            <w:r>
              <w:rPr>
                <w:b/>
                <w:sz w:val="18"/>
                <w:szCs w:val="18"/>
              </w:rPr>
              <w:t xml:space="preserve">Re’sen Tarhı</w:t>
            </w:r>
            <w:r>
              <w:rPr>
                <w:b/>
                <w:sz w:val="18"/>
                <w:szCs w:val="18"/>
              </w:rPr>
              <w:br/>
            </w:r>
            <w:r>
              <w:rPr>
                <w:b/>
                <w:sz w:val="18"/>
                <w:szCs w:val="18"/>
              </w:rPr>
              <w:t xml:space="preserve">Ger. Toplam</w:t>
            </w:r>
          </w:p>
        </w:tc>
      </w:tr>
      <w:tr>
        <w:tc>
          <w:tcPr>
            <w:tcW w:w="1020" w:type="dxa"/>
            <w:vAlign w:val="center"/>
          </w:tcPr>
          <w:p>
            <w:pPr>
              <w:spacing w:before="40" w:after="40" w:line="240" w:lineRule="auto"/>
              <w:jc w:val="left"/>
            </w:pPr>
            <w:r>
              <w:rPr>
                <w:sz w:val="18"/>
                <w:szCs w:val="18"/>
              </w:rPr>
              <w:t xml:space="preserve">2023/Mart</w:t>
            </w:r>
          </w:p>
        </w:tc>
        <w:tc>
          <w:tcPr>
            <w:tcW w:w="1247" w:type="dxa"/>
            <w:vAlign w:val="center"/>
          </w:tcPr>
          <w:p>
            <w:pPr>
              <w:spacing w:before="40" w:after="40" w:line="240" w:lineRule="auto"/>
              <w:jc w:val="right"/>
            </w:pPr>
            <w:r>
              <w:rPr>
                <w:sz w:val="18"/>
                <w:szCs w:val="18"/>
              </w:rPr>
              <w:t xml:space="preserve">8.619,20</w:t>
            </w:r>
          </w:p>
        </w:tc>
        <w:tc>
          <w:tcPr>
            <w:tcW w:w="1247" w:type="dxa"/>
            <w:vAlign w:val="center"/>
          </w:tcPr>
          <w:p>
            <w:pPr>
              <w:spacing w:before="40" w:after="40" w:line="240" w:lineRule="auto"/>
              <w:jc w:val="right"/>
            </w:pPr>
            <w:r>
              <w:rPr>
                <w:sz w:val="18"/>
                <w:szCs w:val="18"/>
              </w:rPr>
              <w:t xml:space="preserve">5.000,00</w:t>
            </w:r>
          </w:p>
        </w:tc>
        <w:tc>
          <w:tcPr>
            <w:tcW w:w="1247" w:type="dxa"/>
            <w:vAlign w:val="center"/>
          </w:tcPr>
          <w:p>
            <w:pPr>
              <w:spacing w:before="40" w:after="40" w:line="240" w:lineRule="auto"/>
              <w:jc w:val="right"/>
            </w:pPr>
            <w:r>
              <w:rPr>
                <w:sz w:val="18"/>
                <w:szCs w:val="18"/>
              </w:rPr>
              <w:t xml:space="preserve">3.619,20</w:t>
            </w:r>
          </w:p>
        </w:tc>
        <w:tc>
          <w:tcPr>
            <w:tcW w:w="1247" w:type="dxa"/>
            <w:vAlign w:val="center"/>
          </w:tcPr>
          <w:p>
            <w:pPr>
              <w:spacing w:before="40" w:after="40" w:line="240" w:lineRule="auto"/>
              <w:jc w:val="right"/>
            </w:pPr>
            <w:r>
              <w:rPr>
                <w:sz w:val="18"/>
                <w:szCs w:val="18"/>
              </w:rPr>
              <w:t xml:space="preserve">0,00</w:t>
            </w:r>
          </w:p>
        </w:tc>
        <w:tc>
          <w:tcPr>
            <w:tcW w:w="1247" w:type="dxa"/>
            <w:vAlign w:val="center"/>
          </w:tcPr>
          <w:p>
            <w:pPr>
              <w:spacing w:before="40" w:after="40" w:line="240" w:lineRule="auto"/>
              <w:jc w:val="right"/>
            </w:pPr>
            <w:r>
              <w:rPr>
                <w:sz w:val="18"/>
                <w:szCs w:val="18"/>
              </w:rPr>
              <w:t xml:space="preserve">0,00</w:t>
            </w:r>
          </w:p>
        </w:tc>
        <w:tc>
          <w:tcPr>
            <w:tcW w:w="1133" w:type="dxa"/>
            <w:vAlign w:val="center"/>
          </w:tcPr>
          <w:p>
            <w:pPr>
              <w:spacing w:before="40" w:after="40" w:line="240" w:lineRule="auto"/>
              <w:jc w:val="right"/>
            </w:pPr>
            <w:r>
              <w:rPr>
                <w:sz w:val="18"/>
                <w:szCs w:val="18"/>
              </w:rPr>
              <w:t xml:space="preserve">0,00</w:t>
            </w:r>
          </w:p>
        </w:tc>
        <w:tc>
          <w:tcPr>
            <w:tcW w:w="1250" w:type="dxa"/>
            <w:vAlign w:val="center"/>
          </w:tcPr>
          <w:p>
            <w:pPr>
              <w:spacing w:before="40" w:after="40" w:line="240" w:lineRule="auto"/>
              <w:jc w:val="right"/>
            </w:pPr>
            <w:r>
              <w:rPr>
                <w:sz w:val="18"/>
                <w:szCs w:val="18"/>
              </w:rPr>
              <w:t xml:space="preserve">3.619,20</w:t>
            </w:r>
          </w:p>
        </w:tc>
      </w:tr>
      <w:tr>
        <w:tc>
          <w:tcPr>
            <w:tcW w:w="1020" w:type="dxa"/>
            <w:vAlign w:val="center"/>
          </w:tcPr>
          <w:p>
            <w:pPr>
              <w:spacing w:before="40" w:after="40" w:line="240" w:lineRule="auto"/>
              <w:jc w:val="left"/>
            </w:pPr>
            <w:r>
              <w:rPr>
                <w:sz w:val="18"/>
                <w:szCs w:val="18"/>
              </w:rPr>
              <w:t xml:space="preserve">2023/Haziran</w:t>
            </w:r>
          </w:p>
        </w:tc>
        <w:tc>
          <w:tcPr>
            <w:tcW w:w="1247" w:type="dxa"/>
            <w:vAlign w:val="center"/>
          </w:tcPr>
          <w:p>
            <w:pPr>
              <w:spacing w:before="40" w:after="40" w:line="240" w:lineRule="auto"/>
              <w:jc w:val="right"/>
            </w:pPr>
            <w:r>
              <w:rPr>
                <w:sz w:val="18"/>
                <w:szCs w:val="18"/>
              </w:rPr>
              <w:t xml:space="preserve">53.155,93</w:t>
            </w:r>
          </w:p>
        </w:tc>
        <w:tc>
          <w:tcPr>
            <w:tcW w:w="1247" w:type="dxa"/>
            <w:vAlign w:val="center"/>
          </w:tcPr>
          <w:p>
            <w:pPr>
              <w:spacing w:before="40" w:after="40" w:line="240" w:lineRule="auto"/>
              <w:jc w:val="right"/>
            </w:pPr>
            <w:r>
              <w:rPr>
                <w:sz w:val="18"/>
                <w:szCs w:val="18"/>
              </w:rPr>
              <w:t xml:space="preserve">5.000,00</w:t>
            </w:r>
          </w:p>
        </w:tc>
        <w:tc>
          <w:tcPr>
            <w:tcW w:w="1247" w:type="dxa"/>
            <w:vAlign w:val="center"/>
          </w:tcPr>
          <w:p>
            <w:pPr>
              <w:spacing w:before="40" w:after="40" w:line="240" w:lineRule="auto"/>
              <w:jc w:val="right"/>
            </w:pPr>
            <w:r>
              <w:rPr>
                <w:sz w:val="18"/>
                <w:szCs w:val="18"/>
              </w:rPr>
              <w:t xml:space="preserve">48.155,93</w:t>
            </w:r>
          </w:p>
        </w:tc>
        <w:tc>
          <w:tcPr>
            <w:tcW w:w="1247" w:type="dxa"/>
            <w:vAlign w:val="center"/>
          </w:tcPr>
          <w:p>
            <w:pPr>
              <w:spacing w:before="40" w:after="40" w:line="240" w:lineRule="auto"/>
              <w:jc w:val="right"/>
            </w:pPr>
            <w:r>
              <w:rPr>
                <w:sz w:val="18"/>
                <w:szCs w:val="18"/>
              </w:rPr>
              <w:t xml:space="preserve">0,00</w:t>
            </w:r>
          </w:p>
        </w:tc>
        <w:tc>
          <w:tcPr>
            <w:tcW w:w="1247" w:type="dxa"/>
            <w:vAlign w:val="center"/>
          </w:tcPr>
          <w:p>
            <w:pPr>
              <w:spacing w:before="40" w:after="40" w:line="240" w:lineRule="auto"/>
              <w:jc w:val="right"/>
            </w:pPr>
            <w:r>
              <w:rPr>
                <w:sz w:val="18"/>
                <w:szCs w:val="18"/>
              </w:rPr>
              <w:t xml:space="preserve">0,00</w:t>
            </w:r>
          </w:p>
        </w:tc>
        <w:tc>
          <w:tcPr>
            <w:tcW w:w="1133" w:type="dxa"/>
            <w:vAlign w:val="center"/>
          </w:tcPr>
          <w:p>
            <w:pPr>
              <w:spacing w:before="40" w:after="40" w:line="240" w:lineRule="auto"/>
              <w:jc w:val="right"/>
            </w:pPr>
            <w:r>
              <w:rPr>
                <w:sz w:val="18"/>
                <w:szCs w:val="18"/>
              </w:rPr>
              <w:t xml:space="preserve">0,00</w:t>
            </w:r>
          </w:p>
        </w:tc>
        <w:tc>
          <w:tcPr>
            <w:tcW w:w="1250" w:type="dxa"/>
            <w:vAlign w:val="center"/>
          </w:tcPr>
          <w:p>
            <w:pPr>
              <w:spacing w:before="40" w:after="40" w:line="240" w:lineRule="auto"/>
              <w:jc w:val="right"/>
            </w:pPr>
            <w:r>
              <w:rPr>
                <w:sz w:val="18"/>
                <w:szCs w:val="18"/>
              </w:rPr>
              <w:t xml:space="preserve">48.155,93</w:t>
            </w:r>
          </w:p>
        </w:tc>
      </w:tr>
      <w:tr>
        <w:tc>
          <w:tcPr>
            <w:tcW w:w="1020" w:type="dxa"/>
            <w:shd w:val="clear" w:color="auto" w:fill="EDEDED"/>
            <w:vAlign w:val="center"/>
          </w:tcPr>
          <w:p>
            <w:pPr>
              <w:spacing w:before="40" w:after="40" w:line="240" w:lineRule="auto"/>
              <w:jc w:val="left"/>
            </w:pPr>
            <w:r>
              <w:rPr>
                <w:b/>
                <w:sz w:val="18"/>
                <w:szCs w:val="18"/>
              </w:rPr>
              <w:t xml:space="preserve">Toplam:</w:t>
            </w:r>
          </w:p>
        </w:tc>
        <w:tc>
          <w:tcPr>
            <w:tcW w:w="1247" w:type="dxa"/>
            <w:shd w:val="clear" w:color="auto" w:fill="EDEDED"/>
            <w:vAlign w:val="center"/>
          </w:tcPr>
          <w:p>
            <w:pPr>
              <w:spacing w:before="40" w:after="40" w:line="240" w:lineRule="auto"/>
              <w:jc w:val="right"/>
            </w:pPr>
            <w:r>
              <w:rPr>
                <w:b/>
                <w:sz w:val="18"/>
                <w:szCs w:val="18"/>
              </w:rPr>
              <w:t xml:space="preserve">61.775,13</w:t>
            </w:r>
          </w:p>
        </w:tc>
        <w:tc>
          <w:tcPr>
            <w:tcW w:w="1247" w:type="dxa"/>
            <w:shd w:val="clear" w:color="auto" w:fill="EDEDED"/>
            <w:vAlign w:val="center"/>
          </w:tcPr>
          <w:p>
            <w:pPr>
              <w:spacing w:before="40" w:after="40" w:line="240" w:lineRule="auto"/>
              <w:jc w:val="right"/>
            </w:pPr>
            <w:r>
              <w:rPr>
                <w:b/>
                <w:sz w:val="18"/>
                <w:szCs w:val="18"/>
              </w:rPr>
              <w:t xml:space="preserve">10.000,00</w:t>
            </w:r>
          </w:p>
        </w:tc>
        <w:tc>
          <w:tcPr>
            <w:tcW w:w="1247" w:type="dxa"/>
            <w:shd w:val="clear" w:color="auto" w:fill="EDEDED"/>
            <w:vAlign w:val="center"/>
          </w:tcPr>
          <w:p>
            <w:pPr>
              <w:spacing w:before="40" w:after="40" w:line="240" w:lineRule="auto"/>
              <w:jc w:val="right"/>
            </w:pPr>
            <w:r>
              <w:rPr>
                <w:b/>
                <w:sz w:val="18"/>
                <w:szCs w:val="18"/>
              </w:rPr>
              <w:t xml:space="preserve">51.775,13</w:t>
            </w:r>
          </w:p>
        </w:tc>
        <w:tc>
          <w:tcPr>
            <w:tcW w:w="1247" w:type="dxa"/>
            <w:shd w:val="clear" w:color="auto" w:fill="EDEDED"/>
            <w:vAlign w:val="center"/>
          </w:tcPr>
          <w:p>
            <w:pPr>
              <w:spacing w:before="40" w:after="40" w:line="240" w:lineRule="auto"/>
              <w:jc w:val="right"/>
            </w:pPr>
            <w:r>
              <w:rPr>
                <w:b/>
                <w:sz w:val="18"/>
                <w:szCs w:val="18"/>
              </w:rPr>
              <w:t xml:space="preserve">0,00</w:t>
            </w:r>
          </w:p>
        </w:tc>
        <w:tc>
          <w:tcPr>
            <w:tcW w:w="1247" w:type="dxa"/>
            <w:shd w:val="clear" w:color="auto" w:fill="EDEDED"/>
            <w:vAlign w:val="center"/>
          </w:tcPr>
          <w:p>
            <w:pPr>
              <w:spacing w:before="40" w:after="40" w:line="240" w:lineRule="auto"/>
              <w:jc w:val="right"/>
            </w:pPr>
            <w:r>
              <w:rPr>
                <w:b/>
                <w:sz w:val="18"/>
                <w:szCs w:val="18"/>
              </w:rPr>
              <w:t xml:space="preserve">0,00</w:t>
            </w:r>
          </w:p>
        </w:tc>
        <w:tc>
          <w:tcPr>
            <w:tcW w:w="1133" w:type="dxa"/>
            <w:shd w:val="clear" w:color="auto" w:fill="EDEDED"/>
            <w:vAlign w:val="center"/>
          </w:tcPr>
          <w:p>
            <w:pPr>
              <w:spacing w:before="40" w:after="40" w:line="240" w:lineRule="auto"/>
              <w:jc w:val="right"/>
            </w:pPr>
            <w:r>
              <w:rPr>
                <w:b/>
                <w:sz w:val="18"/>
                <w:szCs w:val="18"/>
              </w:rPr>
              <w:t xml:space="preserve">0,00</w:t>
            </w:r>
          </w:p>
        </w:tc>
        <w:tc>
          <w:tcPr>
            <w:tcW w:w="1250" w:type="dxa"/>
            <w:shd w:val="clear" w:color="auto" w:fill="EDEDED"/>
            <w:vAlign w:val="center"/>
          </w:tcPr>
          <w:p>
            <w:pPr>
              <w:spacing w:before="40" w:after="40" w:line="240" w:lineRule="auto"/>
              <w:jc w:val="right"/>
            </w:pPr>
            <w:r>
              <w:rPr>
                <w:b/>
                <w:sz w:val="18"/>
                <w:szCs w:val="18"/>
              </w:rPr>
              <w:t xml:space="preserve">51.775,13</w:t>
            </w:r>
          </w:p>
        </w:tc>
      </w:tr>
    </w:tbl>
    <w:p>
      <w:pPr>
        <w:spacing w:after="120"/>
      </w:pPr>
    </w:p>
    <w:p>
      <w:pPr>
        <w:spacing w:before="180" w:after="120" w:line="360" w:lineRule="auto"/>
        <w:jc w:val="left"/>
      </w:pPr>
      <w:r>
        <w:rPr>
          <w:b/>
        </w:rPr>
        <w:t xml:space="preserve">2- Tarhı Gereken KDV Tutarları Üzerinden Kesilecek Vergi Ziyaı Cezası</w:t>
      </w:r>
    </w:p>
    <w:p>
      <w:pPr>
        <w:spacing w:before="120" w:after="40" w:line="360" w:lineRule="auto"/>
        <w:jc w:val="left"/>
      </w:pPr>
      <w:r>
        <w:rPr>
          <w:b/>
        </w:rPr>
        <w:t xml:space="preserve">213 sayılı VUK md. 341 — Vergi Ziyaı</w:t>
      </w:r>
    </w:p>
    <w:p>
      <w:pPr>
        <w:spacing w:before="0" w:after="120" w:line="360" w:lineRule="auto"/>
        <w:ind w:firstLine="567"/>
        <w:jc w:val="both"/>
      </w:pPr>
      <w:r>
        <w:rPr>
          <w:i/>
        </w:rPr>
        <w:t xml:space="preserve">“Vergi ziyaı, mükellefin veya sorumlunun vergilendirme ile ilgili ödevlerini zamanında yerine getirmemesi veya eksik yerine getirmesi yüzünden verginin zamanında tahakkuk ettirilmemesini veya eksik tahakkuk ettirilmesini ifade eder.”</w:t>
      </w:r>
    </w:p>
    <w:p>
      <w:pPr>
        <w:spacing w:before="120" w:after="40" w:line="360" w:lineRule="auto"/>
        <w:jc w:val="left"/>
      </w:pPr>
      <w:r>
        <w:rPr>
          <w:b/>
        </w:rPr>
        <w:t xml:space="preserve">213 sayılı VUK md. 344 — Vergi Ziyaı Cezası</w:t>
      </w:r>
    </w:p>
    <w:p>
      <w:pPr>
        <w:spacing w:before="0" w:after="120" w:line="360" w:lineRule="auto"/>
        <w:ind w:firstLine="567"/>
        <w:jc w:val="both"/>
      </w:pPr>
      <w:r>
        <w:rPr>
          <w:i/>
        </w:rPr>
        <w:t xml:space="preserve">“341 inci maddede yazılı hallerde vergi ziyaına sebebiyet verildiği takdirde, mükellef veya vergi sorumlusu hakkında ziyaa uğratılan verginin bir katı tutarında vergi ziyaı cezası kesilir. Vergi ziyaına 359 uncu maddede yazılı fiillerle sebebiyet verilmesi halinde bu ceza üç kat olarak uygulanır.”</w:t>
      </w:r>
    </w:p>
    <w:p>
      <w:pPr>
        <w:spacing w:before="0" w:after="120" w:line="360" w:lineRule="auto"/>
        <w:ind w:firstLine="567"/>
        <w:jc w:val="both"/>
      </w:pPr>
      <w:r>
        <w:t xml:space="preserve">Mükellef Kurum, söz konusu vergilendirme dönemlerinde sahte belgelere dayanarak haksız yere indirim konusu yaptığı katma değer vergisi nedeniyle vergi ziyaına sebebiyet vermiş olup, vergi ziyaına 213 sayılı Vergi Usul Kanunu’nun 359. maddesinde yazılı fiillerle sebebiyet verildiğinden, aynı Kanun’un 344. maddesi uyarınca vergi ziyaı cezasının üç kat olarak uygulanması gerekmektedir.</w:t>
      </w:r>
    </w:p>
    <w:p>
      <w:pPr>
        <w:spacing w:before="0" w:after="120" w:line="360" w:lineRule="auto"/>
        <w:ind w:firstLine="567"/>
        <w:jc w:val="both"/>
      </w:pPr>
      <w:r>
        <w:t xml:space="preserve">Tarh edilmesi gereken vergi, dönem dönem, ilgili faturaları düzenleyen mükellefler bakımından yapılan bilerek/bilmeden kullanma nitelendirmesine göre paylaştırılmıştır. Bir dönemde reddedilen katma değer vergisi ile tarh edilmesi gereken vergi eşit olmayabilir; devir zinciri reddin bir kısmını soğurabildiğinden, paylaştırma tarh edilen tutar üzerinden yapılmıştır.</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26"/>
        <w:gridCol w:w="1502"/>
        <w:gridCol w:w="1376"/>
        <w:gridCol w:w="1376"/>
        <w:gridCol w:w="1376"/>
        <w:gridCol w:w="1376"/>
        <w:gridCol w:w="1506"/>
      </w:tblGrid>
      <w:tr>
        <w:trPr>
          <w:tblHeader/>
        </w:trPr>
        <w:tc>
          <w:tcPr>
            <w:tcW w:w="1126" w:type="dxa"/>
            <w:shd w:val="clear" w:color="auto" w:fill="D9D9D9"/>
            <w:vAlign w:val="center"/>
          </w:tcPr>
          <w:p>
            <w:pPr>
              <w:spacing w:before="40" w:after="40" w:line="240" w:lineRule="auto"/>
              <w:jc w:val="left"/>
            </w:pPr>
            <w:r>
              <w:rPr>
                <w:b/>
                <w:sz w:val="18"/>
                <w:szCs w:val="18"/>
              </w:rPr>
              <w:t xml:space="preserve">Dönemi</w:t>
            </w:r>
          </w:p>
        </w:tc>
        <w:tc>
          <w:tcPr>
            <w:tcW w:w="1502" w:type="dxa"/>
            <w:shd w:val="clear" w:color="auto" w:fill="D9D9D9"/>
            <w:vAlign w:val="center"/>
          </w:tcPr>
          <w:p>
            <w:pPr>
              <w:spacing w:before="40" w:after="40" w:line="240" w:lineRule="auto"/>
              <w:jc w:val="right"/>
            </w:pPr>
            <w:r>
              <w:rPr>
                <w:b/>
                <w:sz w:val="18"/>
                <w:szCs w:val="18"/>
              </w:rPr>
              <w:t xml:space="preserve">Tarh Edilecek</w:t>
            </w:r>
            <w:r>
              <w:rPr>
                <w:b/>
                <w:sz w:val="18"/>
                <w:szCs w:val="18"/>
              </w:rPr>
              <w:br/>
            </w:r>
            <w:r>
              <w:rPr>
                <w:b/>
                <w:sz w:val="18"/>
                <w:szCs w:val="18"/>
              </w:rPr>
              <w:t xml:space="preserve">KDV</w:t>
            </w:r>
          </w:p>
        </w:tc>
        <w:tc>
          <w:tcPr>
            <w:tcW w:w="1376" w:type="dxa"/>
            <w:shd w:val="clear" w:color="auto" w:fill="D9D9D9"/>
            <w:vAlign w:val="center"/>
          </w:tcPr>
          <w:p>
            <w:pPr>
              <w:spacing w:before="40" w:after="40" w:line="240" w:lineRule="auto"/>
              <w:jc w:val="right"/>
            </w:pPr>
            <w:r>
              <w:rPr>
                <w:b/>
                <w:sz w:val="18"/>
                <w:szCs w:val="18"/>
              </w:rPr>
              <w:t xml:space="preserve">Bilerek</w:t>
            </w:r>
            <w:r>
              <w:rPr>
                <w:b/>
                <w:sz w:val="18"/>
                <w:szCs w:val="18"/>
              </w:rPr>
              <w:br/>
            </w:r>
            <w:r>
              <w:rPr>
                <w:b/>
                <w:sz w:val="18"/>
                <w:szCs w:val="18"/>
              </w:rPr>
              <w:t xml:space="preserve">Pay</w:t>
            </w:r>
          </w:p>
        </w:tc>
        <w:tc>
          <w:tcPr>
            <w:tcW w:w="1376" w:type="dxa"/>
            <w:shd w:val="clear" w:color="auto" w:fill="D9D9D9"/>
            <w:vAlign w:val="center"/>
          </w:tcPr>
          <w:p>
            <w:pPr>
              <w:spacing w:before="40" w:after="40" w:line="240" w:lineRule="auto"/>
              <w:jc w:val="right"/>
            </w:pPr>
            <w:r>
              <w:rPr>
                <w:b/>
                <w:sz w:val="18"/>
                <w:szCs w:val="18"/>
              </w:rPr>
              <w:t xml:space="preserve">Ceza</w:t>
            </w:r>
            <w:r>
              <w:rPr>
                <w:b/>
                <w:sz w:val="18"/>
                <w:szCs w:val="18"/>
              </w:rPr>
              <w:br/>
            </w:r>
            <w:r>
              <w:rPr>
                <w:b/>
                <w:sz w:val="18"/>
                <w:szCs w:val="18"/>
              </w:rPr>
              <w:t xml:space="preserve">(3 kat)</w:t>
            </w:r>
          </w:p>
        </w:tc>
        <w:tc>
          <w:tcPr>
            <w:tcW w:w="1376" w:type="dxa"/>
            <w:shd w:val="clear" w:color="auto" w:fill="D9D9D9"/>
            <w:vAlign w:val="center"/>
          </w:tcPr>
          <w:p>
            <w:pPr>
              <w:spacing w:before="40" w:after="40" w:line="240" w:lineRule="auto"/>
              <w:jc w:val="right"/>
            </w:pPr>
            <w:r>
              <w:rPr>
                <w:b/>
                <w:sz w:val="18"/>
                <w:szCs w:val="18"/>
              </w:rPr>
              <w:t xml:space="preserve">Bilmeden</w:t>
            </w:r>
            <w:r>
              <w:rPr>
                <w:b/>
                <w:sz w:val="18"/>
                <w:szCs w:val="18"/>
              </w:rPr>
              <w:br/>
            </w:r>
            <w:r>
              <w:rPr>
                <w:b/>
                <w:sz w:val="18"/>
                <w:szCs w:val="18"/>
              </w:rPr>
              <w:t xml:space="preserve">Pay</w:t>
            </w:r>
          </w:p>
        </w:tc>
        <w:tc>
          <w:tcPr>
            <w:tcW w:w="1376" w:type="dxa"/>
            <w:shd w:val="clear" w:color="auto" w:fill="D9D9D9"/>
            <w:vAlign w:val="center"/>
          </w:tcPr>
          <w:p>
            <w:pPr>
              <w:spacing w:before="40" w:after="40" w:line="240" w:lineRule="auto"/>
              <w:jc w:val="right"/>
            </w:pPr>
            <w:r>
              <w:rPr>
                <w:b/>
                <w:sz w:val="18"/>
                <w:szCs w:val="18"/>
              </w:rPr>
              <w:t xml:space="preserve">Ceza</w:t>
            </w:r>
            <w:r>
              <w:rPr>
                <w:b/>
                <w:sz w:val="18"/>
                <w:szCs w:val="18"/>
              </w:rPr>
              <w:br/>
            </w:r>
            <w:r>
              <w:rPr>
                <w:b/>
                <w:sz w:val="18"/>
                <w:szCs w:val="18"/>
              </w:rPr>
              <w:t xml:space="preserve">(1 kat)</w:t>
            </w:r>
          </w:p>
        </w:tc>
        <w:tc>
          <w:tcPr>
            <w:tcW w:w="1506" w:type="dxa"/>
            <w:shd w:val="clear" w:color="auto" w:fill="D9D9D9"/>
            <w:vAlign w:val="center"/>
          </w:tcPr>
          <w:p>
            <w:pPr>
              <w:spacing w:before="40" w:after="40" w:line="240" w:lineRule="auto"/>
              <w:jc w:val="right"/>
            </w:pPr>
            <w:r>
              <w:rPr>
                <w:b/>
                <w:sz w:val="18"/>
                <w:szCs w:val="18"/>
              </w:rPr>
              <w:t xml:space="preserve">Ceza</w:t>
            </w:r>
            <w:r>
              <w:rPr>
                <w:b/>
                <w:sz w:val="18"/>
                <w:szCs w:val="18"/>
              </w:rPr>
              <w:br/>
            </w:r>
            <w:r>
              <w:rPr>
                <w:b/>
                <w:sz w:val="18"/>
                <w:szCs w:val="18"/>
              </w:rPr>
              <w:t xml:space="preserve">Toplamı</w:t>
            </w:r>
          </w:p>
        </w:tc>
      </w:tr>
      <w:tr>
        <w:tc>
          <w:tcPr>
            <w:tcW w:w="1126" w:type="dxa"/>
            <w:vAlign w:val="center"/>
          </w:tcPr>
          <w:p>
            <w:pPr>
              <w:spacing w:before="40" w:after="40" w:line="240" w:lineRule="auto"/>
              <w:jc w:val="left"/>
            </w:pPr>
            <w:r>
              <w:rPr>
                <w:sz w:val="18"/>
                <w:szCs w:val="18"/>
              </w:rPr>
              <w:t xml:space="preserve">2023/Mart</w:t>
            </w:r>
          </w:p>
        </w:tc>
        <w:tc>
          <w:tcPr>
            <w:tcW w:w="1502" w:type="dxa"/>
            <w:vAlign w:val="center"/>
          </w:tcPr>
          <w:p>
            <w:pPr>
              <w:spacing w:before="40" w:after="40" w:line="240" w:lineRule="auto"/>
              <w:jc w:val="right"/>
            </w:pPr>
            <w:r>
              <w:rPr>
                <w:sz w:val="18"/>
                <w:szCs w:val="18"/>
              </w:rPr>
              <w:t xml:space="preserve">3.619,20</w:t>
            </w:r>
          </w:p>
        </w:tc>
        <w:tc>
          <w:tcPr>
            <w:tcW w:w="1376" w:type="dxa"/>
            <w:vAlign w:val="center"/>
          </w:tcPr>
          <w:p>
            <w:pPr>
              <w:spacing w:before="40" w:after="40" w:line="240" w:lineRule="auto"/>
              <w:jc w:val="right"/>
            </w:pPr>
            <w:r>
              <w:rPr>
                <w:sz w:val="18"/>
                <w:szCs w:val="18"/>
              </w:rPr>
              <w:t xml:space="preserve">3.619,20</w:t>
            </w:r>
          </w:p>
        </w:tc>
        <w:tc>
          <w:tcPr>
            <w:tcW w:w="1376" w:type="dxa"/>
            <w:vAlign w:val="center"/>
          </w:tcPr>
          <w:p>
            <w:pPr>
              <w:spacing w:before="40" w:after="40" w:line="240" w:lineRule="auto"/>
              <w:jc w:val="right"/>
            </w:pPr>
            <w:r>
              <w:rPr>
                <w:sz w:val="18"/>
                <w:szCs w:val="18"/>
              </w:rPr>
              <w:t xml:space="preserve">10.857,60</w:t>
            </w:r>
          </w:p>
        </w:tc>
        <w:tc>
          <w:tcPr>
            <w:tcW w:w="1376" w:type="dxa"/>
            <w:vAlign w:val="center"/>
          </w:tcPr>
          <w:p>
            <w:pPr>
              <w:spacing w:before="40" w:after="40" w:line="240" w:lineRule="auto"/>
              <w:jc w:val="right"/>
            </w:pPr>
            <w:r>
              <w:rPr>
                <w:sz w:val="18"/>
                <w:szCs w:val="18"/>
              </w:rPr>
              <w:t xml:space="preserve">0,00</w:t>
            </w:r>
          </w:p>
        </w:tc>
        <w:tc>
          <w:tcPr>
            <w:tcW w:w="1376" w:type="dxa"/>
            <w:vAlign w:val="center"/>
          </w:tcPr>
          <w:p>
            <w:pPr>
              <w:spacing w:before="40" w:after="40" w:line="240" w:lineRule="auto"/>
              <w:jc w:val="right"/>
            </w:pPr>
            <w:r>
              <w:rPr>
                <w:sz w:val="18"/>
                <w:szCs w:val="18"/>
              </w:rPr>
              <w:t xml:space="preserve">0,00</w:t>
            </w:r>
          </w:p>
        </w:tc>
        <w:tc>
          <w:tcPr>
            <w:tcW w:w="1506" w:type="dxa"/>
            <w:vAlign w:val="center"/>
          </w:tcPr>
          <w:p>
            <w:pPr>
              <w:spacing w:before="40" w:after="40" w:line="240" w:lineRule="auto"/>
              <w:jc w:val="right"/>
            </w:pPr>
            <w:r>
              <w:rPr>
                <w:sz w:val="18"/>
                <w:szCs w:val="18"/>
              </w:rPr>
              <w:t xml:space="preserve">10.857,60</w:t>
            </w:r>
          </w:p>
        </w:tc>
      </w:tr>
      <w:tr>
        <w:tc>
          <w:tcPr>
            <w:tcW w:w="1126" w:type="dxa"/>
            <w:vAlign w:val="center"/>
          </w:tcPr>
          <w:p>
            <w:pPr>
              <w:spacing w:before="40" w:after="40" w:line="240" w:lineRule="auto"/>
              <w:jc w:val="left"/>
            </w:pPr>
            <w:r>
              <w:rPr>
                <w:sz w:val="18"/>
                <w:szCs w:val="18"/>
              </w:rPr>
              <w:t xml:space="preserve">2023/Haziran</w:t>
            </w:r>
          </w:p>
        </w:tc>
        <w:tc>
          <w:tcPr>
            <w:tcW w:w="1502" w:type="dxa"/>
            <w:vAlign w:val="center"/>
          </w:tcPr>
          <w:p>
            <w:pPr>
              <w:spacing w:before="40" w:after="40" w:line="240" w:lineRule="auto"/>
              <w:jc w:val="right"/>
            </w:pPr>
            <w:r>
              <w:rPr>
                <w:sz w:val="18"/>
                <w:szCs w:val="18"/>
              </w:rPr>
              <w:t xml:space="preserve">48.155,93</w:t>
            </w:r>
          </w:p>
        </w:tc>
        <w:tc>
          <w:tcPr>
            <w:tcW w:w="1376" w:type="dxa"/>
            <w:vAlign w:val="center"/>
          </w:tcPr>
          <w:p>
            <w:pPr>
              <w:spacing w:before="40" w:after="40" w:line="240" w:lineRule="auto"/>
              <w:jc w:val="right"/>
            </w:pPr>
            <w:r>
              <w:rPr>
                <w:sz w:val="18"/>
                <w:szCs w:val="18"/>
              </w:rPr>
              <w:t xml:space="preserve">48.155,93</w:t>
            </w:r>
          </w:p>
        </w:tc>
        <w:tc>
          <w:tcPr>
            <w:tcW w:w="1376" w:type="dxa"/>
            <w:vAlign w:val="center"/>
          </w:tcPr>
          <w:p>
            <w:pPr>
              <w:spacing w:before="40" w:after="40" w:line="240" w:lineRule="auto"/>
              <w:jc w:val="right"/>
            </w:pPr>
            <w:r>
              <w:rPr>
                <w:sz w:val="18"/>
                <w:szCs w:val="18"/>
              </w:rPr>
              <w:t xml:space="preserve">144.467,79</w:t>
            </w:r>
          </w:p>
        </w:tc>
        <w:tc>
          <w:tcPr>
            <w:tcW w:w="1376" w:type="dxa"/>
            <w:vAlign w:val="center"/>
          </w:tcPr>
          <w:p>
            <w:pPr>
              <w:spacing w:before="40" w:after="40" w:line="240" w:lineRule="auto"/>
              <w:jc w:val="right"/>
            </w:pPr>
            <w:r>
              <w:rPr>
                <w:sz w:val="18"/>
                <w:szCs w:val="18"/>
              </w:rPr>
              <w:t xml:space="preserve">0,00</w:t>
            </w:r>
          </w:p>
        </w:tc>
        <w:tc>
          <w:tcPr>
            <w:tcW w:w="1376" w:type="dxa"/>
            <w:vAlign w:val="center"/>
          </w:tcPr>
          <w:p>
            <w:pPr>
              <w:spacing w:before="40" w:after="40" w:line="240" w:lineRule="auto"/>
              <w:jc w:val="right"/>
            </w:pPr>
            <w:r>
              <w:rPr>
                <w:sz w:val="18"/>
                <w:szCs w:val="18"/>
              </w:rPr>
              <w:t xml:space="preserve">0,00</w:t>
            </w:r>
          </w:p>
        </w:tc>
        <w:tc>
          <w:tcPr>
            <w:tcW w:w="1506" w:type="dxa"/>
            <w:vAlign w:val="center"/>
          </w:tcPr>
          <w:p>
            <w:pPr>
              <w:spacing w:before="40" w:after="40" w:line="240" w:lineRule="auto"/>
              <w:jc w:val="right"/>
            </w:pPr>
            <w:r>
              <w:rPr>
                <w:sz w:val="18"/>
                <w:szCs w:val="18"/>
              </w:rPr>
              <w:t xml:space="preserve">144.467,79</w:t>
            </w:r>
          </w:p>
        </w:tc>
      </w:tr>
      <w:tr>
        <w:tc>
          <w:tcPr>
            <w:tcW w:w="1126" w:type="dxa"/>
            <w:shd w:val="clear" w:color="auto" w:fill="EDEDED"/>
            <w:vAlign w:val="center"/>
          </w:tcPr>
          <w:p>
            <w:pPr>
              <w:spacing w:before="40" w:after="40" w:line="240" w:lineRule="auto"/>
              <w:jc w:val="left"/>
            </w:pPr>
            <w:r>
              <w:rPr>
                <w:b/>
                <w:sz w:val="18"/>
                <w:szCs w:val="18"/>
              </w:rPr>
              <w:t xml:space="preserve">Toplam:</w:t>
            </w:r>
          </w:p>
        </w:tc>
        <w:tc>
          <w:tcPr>
            <w:tcW w:w="1502" w:type="dxa"/>
            <w:shd w:val="clear" w:color="auto" w:fill="EDEDED"/>
            <w:vAlign w:val="center"/>
          </w:tcPr>
          <w:p>
            <w:pPr>
              <w:spacing w:before="40" w:after="40" w:line="240" w:lineRule="auto"/>
              <w:jc w:val="right"/>
            </w:pPr>
            <w:r>
              <w:rPr>
                <w:b/>
                <w:sz w:val="18"/>
                <w:szCs w:val="18"/>
              </w:rPr>
              <w:t xml:space="preserve">51.775,13</w:t>
            </w:r>
          </w:p>
        </w:tc>
        <w:tc>
          <w:tcPr>
            <w:tcW w:w="1376" w:type="dxa"/>
            <w:shd w:val="clear" w:color="auto" w:fill="EDEDED"/>
            <w:vAlign w:val="center"/>
          </w:tcPr>
          <w:p>
            <w:pPr>
              <w:spacing w:before="40" w:after="40" w:line="240" w:lineRule="auto"/>
              <w:jc w:val="right"/>
            </w:pPr>
            <w:r>
              <w:rPr>
                <w:b/>
                <w:sz w:val="18"/>
                <w:szCs w:val="18"/>
              </w:rPr>
              <w:t xml:space="preserve">51.775,13</w:t>
            </w:r>
          </w:p>
        </w:tc>
        <w:tc>
          <w:tcPr>
            <w:tcW w:w="1376" w:type="dxa"/>
            <w:shd w:val="clear" w:color="auto" w:fill="EDEDED"/>
            <w:vAlign w:val="center"/>
          </w:tcPr>
          <w:p>
            <w:pPr>
              <w:spacing w:before="40" w:after="40" w:line="240" w:lineRule="auto"/>
              <w:jc w:val="right"/>
            </w:pPr>
            <w:r>
              <w:rPr>
                <w:b/>
                <w:sz w:val="18"/>
                <w:szCs w:val="18"/>
              </w:rPr>
              <w:t xml:space="preserve">155.325,39</w:t>
            </w:r>
          </w:p>
        </w:tc>
        <w:tc>
          <w:tcPr>
            <w:tcW w:w="1376" w:type="dxa"/>
            <w:shd w:val="clear" w:color="auto" w:fill="EDEDED"/>
            <w:vAlign w:val="center"/>
          </w:tcPr>
          <w:p>
            <w:pPr>
              <w:spacing w:before="40" w:after="40" w:line="240" w:lineRule="auto"/>
              <w:jc w:val="right"/>
            </w:pPr>
            <w:r>
              <w:rPr>
                <w:b/>
                <w:sz w:val="18"/>
                <w:szCs w:val="18"/>
              </w:rPr>
              <w:t xml:space="preserve">0,00</w:t>
            </w:r>
          </w:p>
        </w:tc>
        <w:tc>
          <w:tcPr>
            <w:tcW w:w="1376" w:type="dxa"/>
            <w:shd w:val="clear" w:color="auto" w:fill="EDEDED"/>
            <w:vAlign w:val="center"/>
          </w:tcPr>
          <w:p>
            <w:pPr>
              <w:spacing w:before="40" w:after="40" w:line="240" w:lineRule="auto"/>
              <w:jc w:val="right"/>
            </w:pPr>
            <w:r>
              <w:rPr>
                <w:b/>
                <w:sz w:val="18"/>
                <w:szCs w:val="18"/>
              </w:rPr>
              <w:t xml:space="preserve">0,00</w:t>
            </w:r>
          </w:p>
        </w:tc>
        <w:tc>
          <w:tcPr>
            <w:tcW w:w="1506" w:type="dxa"/>
            <w:shd w:val="clear" w:color="auto" w:fill="EDEDED"/>
            <w:vAlign w:val="center"/>
          </w:tcPr>
          <w:p>
            <w:pPr>
              <w:spacing w:before="40" w:after="40" w:line="240" w:lineRule="auto"/>
              <w:jc w:val="right"/>
            </w:pPr>
            <w:r>
              <w:rPr>
                <w:b/>
                <w:sz w:val="18"/>
                <w:szCs w:val="18"/>
              </w:rPr>
              <w:t xml:space="preserve">155.325,39</w:t>
            </w:r>
          </w:p>
        </w:tc>
      </w:tr>
    </w:tbl>
    <w:p>
      <w:pPr>
        <w:spacing w:after="120"/>
      </w:pPr>
    </w:p>
    <w:p>
      <w:pPr>
        <w:spacing w:before="180" w:after="120" w:line="360" w:lineRule="auto"/>
        <w:jc w:val="left"/>
      </w:pPr>
      <w:r>
        <w:rPr>
          <w:b/>
        </w:rPr>
        <w:t xml:space="preserve">3- Sahte Belge Kullanımının Kurumlar Vergisi ve Kaçakçılık Suçu Yönünden Değerlendirilmesi</w:t>
      </w:r>
    </w:p>
    <w:p>
      <w:pPr>
        <w:spacing w:before="120" w:after="40" w:line="360" w:lineRule="auto"/>
        <w:jc w:val="left"/>
      </w:pPr>
      <w:r>
        <w:rPr>
          <w:b/>
        </w:rPr>
        <w:t xml:space="preserve">306 Sıra No'lu VUK Genel Tebliği — Bilerek Kullanma Ölçütü</w:t>
      </w:r>
    </w:p>
    <w:p>
      <w:pPr>
        <w:spacing w:before="0" w:after="120" w:line="360" w:lineRule="auto"/>
        <w:ind w:firstLine="567"/>
        <w:jc w:val="both"/>
      </w:pPr>
      <w:r>
        <w:rPr>
          <w:i/>
        </w:rPr>
        <w:t xml:space="preserve">“Sahte veya muhteviyatı itibariyle yanıltıcı belgenin gerek düzenlenmesinin gerekse kullanılmasının kaçakçılık suçunun oluşması yönünden ayrı ayrı değerlendirilmesi gerekir. Kaçakçılık suçunun oluşması, sahte veya muhteviyatı itibariyle yanıltıcı belgenin bilerek kullanılıp kullanılmadığının, diğer bir anlatımla bu kullanımda kastın bulunup bulunmadığının değerlendirilmesine ve belirlenmesine bağlıdır. Bu belgeleri bilmeden kullandığı sonucuna varılan mükellefler adına vergi suçu raporu düzenlenmemesi ve haklarında cumhuriyet savcılıklarına suç duyurusunda bulunulmaması gerekir.”</w:t>
      </w:r>
    </w:p>
    <w:p>
      <w:pPr>
        <w:spacing w:before="0" w:after="120" w:line="360" w:lineRule="auto"/>
        <w:ind w:firstLine="567"/>
        <w:jc w:val="both"/>
      </w:pPr>
      <w:r>
        <w:t xml:space="preserve">Buna göre failin, fiilin oluşturduğu suçtan sorumlu tutulabilmesi için kastın mevcudiyeti gerekmekte; kasten hareket edilmiş sayılabilmesi için de suçu oluşturan fiilin bilerek ve isteyerek işlenmiş olması gerekmektedir.</w:t>
      </w:r>
    </w:p>
    <w:p>
      <w:pPr>
        <w:spacing w:before="0" w:after="120" w:line="360" w:lineRule="auto"/>
        <w:ind w:firstLine="567"/>
        <w:jc w:val="both"/>
      </w:pPr>
      <w:r>
        <w:t xml:space="preserve">Yapılan tespitler doğrultusunda; mükellef kurumun kullandığı sahte faturalara ait katma değer vergisinin (51.775,13 TL), aynı dönemde indirim konusu yaptığı toplam katma değer vergisi (1.140.000,00 TL) içindeki payının %4,54 olduğu görülmektedir.</w:t>
      </w:r>
    </w:p>
    <w:p>
      <w:pPr>
        <w:spacing w:before="0" w:after="120" w:line="360" w:lineRule="auto"/>
        <w:ind w:firstLine="567"/>
        <w:jc w:val="both"/>
      </w:pPr>
      <w:r>
        <w:t xml:space="preserve">Yukarıda yapılan açıklamalar 213 sayılı Vergi Usul Kanunu ve 306 Sıra No’lu Genel Tebliği kapsamında değerlendirildiğinde, mükellef kurumun kullanmış olduğu sahte faturaları bilerek kullandığı ve vergi ziyaına sebebiyet vermede kastının bulunduğu sonucuna varılmıştır. Bu nedenle mükellef kurum hakkında 213 sayılı Vergi Usul Kanunu’nun 359. maddesi uyarınca vergi suçu raporu düzenlenmesi ve </w:t>
      </w:r>
      <w:r>
        <w:rPr>
          <w:color w:val="C00000"/>
        </w:rPr>
        <w:t xml:space="preserve">[T.C. kimlik no]</w:t>
      </w:r>
      <w:r>
        <w:t xml:space="preserve"> T.C. kimlik numaralı Cancan KAR hakkında Cumhuriyet Başsavcılığına suç duyurusunda bulunulması gerekmektedir.</w:t>
      </w:r>
    </w:p>
    <w:p>
      <w:pPr>
        <w:spacing w:before="180" w:after="120" w:line="360" w:lineRule="auto"/>
        <w:jc w:val="left"/>
      </w:pPr>
      <w:r>
        <w:rPr>
          <w:b/>
        </w:rPr>
        <w:t xml:space="preserve">Ç- Tarhiyat Öncesi Uzlaşma Talebi Yönünden Değerlendirme</w:t>
      </w:r>
    </w:p>
    <w:p>
      <w:pPr>
        <w:spacing w:before="0" w:after="120" w:line="360" w:lineRule="auto"/>
        <w:ind w:firstLine="567"/>
        <w:jc w:val="both"/>
      </w:pPr>
      <w:r>
        <w:t xml:space="preserve">Mükellef Kurum, salınacak vergiler ve kesilecek cezalar için 213 sayılı Vergi Usul Kanunu’nun Ek 11. maddesinde düzenlenen tarhiyat öncesi uzlaşma talep hakkını kullanmamıştır.</w:t>
      </w:r>
    </w:p>
    <w:p>
      <w:pPr>
        <w:spacing w:before="120" w:after="40" w:line="360" w:lineRule="auto"/>
        <w:jc w:val="left"/>
      </w:pPr>
      <w:r>
        <w:rPr>
          <w:b/>
        </w:rPr>
        <w:t xml:space="preserve">213 sayılı VUK Ek md. 11 — Tarhiyat Öncesi Uzlaşma</w:t>
      </w:r>
    </w:p>
    <w:p>
      <w:pPr>
        <w:spacing w:before="0" w:after="120" w:line="360" w:lineRule="auto"/>
        <w:ind w:firstLine="567"/>
        <w:jc w:val="both"/>
      </w:pPr>
      <w:r>
        <w:rPr>
          <w:i/>
        </w:rPr>
        <w:t xml:space="preserve">“Maliye Bakanlığı, vergi incelemesine dayanılarak tarh edilecek vergilerle bunlara ilişkin kesilecek vergi ziyaı cezalarında tarhiyat öncesi uzlaşma yapılmasına izin verebilir. Şu kadar ki, 359 uncu maddede yazılı fiillerle vergi ziyaına sebebiyet verilmesi halinde tarh edilecek vergi ve kesilecek ceza ile bu fiillere iştirak edenlere kesilecek ceza tarhiyat öncesi uzlaşma kapsamı dışındadır.”</w:t>
      </w:r>
    </w:p>
    <w:p>
      <w:pPr>
        <w:spacing w:before="0" w:after="120" w:line="360" w:lineRule="auto"/>
        <w:ind w:firstLine="567"/>
        <w:jc w:val="both"/>
      </w:pPr>
      <w:r>
        <w:t xml:space="preserve">Dolayısıyla mükellef kurumun vergi ziyaına 213 sayılı Vergi Usul Kanunu’nun 359/b maddesinde sayılan “sahte belge kullanma” fiili ile sebebiyet vermesi nedeniyle, tarh edilecek vergi ve kesilecek cezalar tarhiyat öncesi uzlaşma kapsamı dışındadır.</w:t>
      </w:r>
    </w:p>
    <w:p>
      <w:pPr>
        <w:spacing w:before="240" w:after="180" w:line="360" w:lineRule="auto"/>
        <w:jc w:val="center"/>
      </w:pPr>
      <w:r>
        <w:rPr>
          <w:b/>
          <w:sz w:val="28"/>
          <w:szCs w:val="28"/>
        </w:rPr>
        <w:t xml:space="preserve">V- SONUÇ</w:t>
      </w:r>
    </w:p>
    <w:p>
      <w:pPr>
        <w:spacing w:before="0" w:after="120" w:line="360" w:lineRule="auto"/>
        <w:ind w:firstLine="567"/>
        <w:jc w:val="both"/>
      </w:pPr>
      <w:r>
        <w:t xml:space="preserve">Ceyhan Vergi Dairesi Müdürlüğünün 1750000000 vergi kimlik numaralı mükellefi EMİR PETROL DAĞITIM LİMİTED ŞİRKETİ’in 2023 hesap dönemi defter ve belgelerinin sahte belge kullanımı ile sınırlı olarak incelenmesi neticesinde;</w:t>
      </w:r>
    </w:p>
    <w:p>
      <w:pPr>
        <w:spacing w:before="0" w:after="100" w:line="360" w:lineRule="auto"/>
        <w:ind w:firstLine="567"/>
        <w:jc w:val="both"/>
      </w:pPr>
      <w:r>
        <w:rPr>
          <w:b/>
        </w:rPr>
        <w:t xml:space="preserve">1- Raporun II. bölümünde belirtildiği üzere; 213 sayılı Vergi Usul Kanunu’nun 352/I-3. maddesi gereğince birinci derece usulsüzlük cezasının iki kat olarak kesilmesi, ancak ceza uygulamasında aynı Kanun’un 336. maddesinin dikkate alınması gerektiği,</w:t>
      </w:r>
    </w:p>
    <w:p>
      <w:pPr>
        <w:spacing w:before="0" w:after="100" w:line="360" w:lineRule="auto"/>
        <w:ind w:firstLine="567"/>
        <w:jc w:val="both"/>
      </w:pPr>
      <w:r>
        <w:rPr>
          <w:b/>
        </w:rPr>
        <w:t xml:space="preserve">2- Raporun IV/B ve IV/D bölümlerinde belirtildiği üzere, aşağıda belirtilen dönemler itibarıyla ortaya çıkan toplam 51.775,13 TL tutarındaki katma değer vergisinin 213 sayılı Vergi Usul Kanunu’nun 30/6. maddesi uyarınca mükellef kurum adına re’sen tarh edilmesi; re’sen tarh edilecek vergi üzerinden aynı Kanun’un 341. ve 344. maddeleri uyarınca üç kat vergi ziyaı cezası kesilmesi gerektiği,</w:t>
      </w:r>
    </w:p>
    <w:p>
      <w:pPr>
        <w:spacing w:before="0" w:after="100" w:line="360" w:lineRule="auto"/>
        <w:ind w:firstLine="567"/>
        <w:jc w:val="both"/>
      </w:pPr>
      <w:r>
        <w:rPr>
          <w:b/>
        </w:rPr>
        <w:t xml:space="preserve">3- Raporun II/B.1 bölümünde ayrıntılı olarak açıklandığı üzere; 213 sayılı Vergi Usul Kanunu’nun mükerrer 355. maddesi hükmü gereğince toplam 21.946,78 TL özel usulsüzlük cezası kesilmesi gerektiği,</w:t>
      </w:r>
    </w:p>
    <w:p>
      <w:pPr>
        <w:spacing w:before="0" w:after="100" w:line="360" w:lineRule="auto"/>
        <w:ind w:firstLine="567"/>
        <w:jc w:val="both"/>
      </w:pPr>
      <w:r>
        <w:rPr>
          <w:b/>
        </w:rPr>
        <w:t xml:space="preserve">4- Raporun IV/D.3 bölümünde açıklandığı üzere, mükellef kurumun sahte olduğu Vergi Tekniği Raporlarıyla tespit edilen faturaları bilerek kullandığı, bu fiil nedeniyle 213 sayılı Vergi Usul Kanunu’nun 359. maddesi uyarınca vergi suçu raporu düzenlenmesi ve </w:t>
      </w:r>
      <w:r>
        <w:rPr>
          <w:b/>
          <w:color w:val="C00000"/>
        </w:rPr>
        <w:t xml:space="preserve">[T.C. kimlik no]</w:t>
      </w:r>
      <w:r>
        <w:rPr>
          <w:b/>
        </w:rPr>
        <w:t xml:space="preserve"> T.C. kimlik numaralı Cancan KAR hakkında Cumhuriyet Başsavcılığına suç duyurusunda bulunulması gerektiği,</w:t>
      </w:r>
    </w:p>
    <w:p>
      <w:pPr>
        <w:spacing w:before="0" w:after="100" w:line="360" w:lineRule="auto"/>
        <w:ind w:firstLine="567"/>
        <w:jc w:val="both"/>
      </w:pPr>
      <w:r>
        <w:rPr>
          <w:b/>
        </w:rPr>
        <w:t xml:space="preserve">5- Raporun IV/Ç bölümünde açıklandığı üzere, tarh edilecek vergi ve kesilecek cezaların 213 sayılı Vergi Usul Kanunu’nun Ek 11. maddesi uyarınca tarhiyat öncesi uzlaşma kapsamı dışında olduğu,</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20"/>
        <w:gridCol w:w="1247"/>
        <w:gridCol w:w="1247"/>
        <w:gridCol w:w="1247"/>
        <w:gridCol w:w="1247"/>
        <w:gridCol w:w="1247"/>
        <w:gridCol w:w="1133"/>
        <w:gridCol w:w="1250"/>
      </w:tblGrid>
      <w:tr>
        <w:trPr>
          <w:tblHeader/>
        </w:trPr>
        <w:tc>
          <w:tcPr>
            <w:tcW w:w="1020" w:type="dxa"/>
            <w:shd w:val="clear" w:color="auto" w:fill="D9D9D9"/>
            <w:vAlign w:val="center"/>
          </w:tcPr>
          <w:p>
            <w:pPr>
              <w:spacing w:before="40" w:after="40" w:line="240" w:lineRule="auto"/>
              <w:jc w:val="left"/>
            </w:pPr>
            <w:r>
              <w:rPr>
                <w:b/>
                <w:sz w:val="18"/>
                <w:szCs w:val="18"/>
              </w:rPr>
              <w:t xml:space="preserve">Dönemi</w:t>
            </w:r>
          </w:p>
        </w:tc>
        <w:tc>
          <w:tcPr>
            <w:tcW w:w="1247" w:type="dxa"/>
            <w:shd w:val="clear" w:color="auto" w:fill="D9D9D9"/>
            <w:vAlign w:val="center"/>
          </w:tcPr>
          <w:p>
            <w:pPr>
              <w:spacing w:before="40" w:after="40" w:line="240" w:lineRule="auto"/>
              <w:jc w:val="right"/>
            </w:pPr>
            <w:r>
              <w:rPr>
                <w:b/>
                <w:sz w:val="18"/>
                <w:szCs w:val="18"/>
              </w:rPr>
              <w:t xml:space="preserve">Ödenecek KDV</w:t>
            </w:r>
            <w:r>
              <w:rPr>
                <w:b/>
                <w:sz w:val="18"/>
                <w:szCs w:val="18"/>
              </w:rPr>
              <w:br/>
            </w:r>
            <w:r>
              <w:rPr>
                <w:b/>
                <w:sz w:val="18"/>
                <w:szCs w:val="18"/>
              </w:rPr>
              <w:t xml:space="preserve">Olması Gereken</w:t>
            </w:r>
          </w:p>
        </w:tc>
        <w:tc>
          <w:tcPr>
            <w:tcW w:w="1247" w:type="dxa"/>
            <w:shd w:val="clear" w:color="auto" w:fill="D9D9D9"/>
            <w:vAlign w:val="center"/>
          </w:tcPr>
          <w:p>
            <w:pPr>
              <w:spacing w:before="40" w:after="40" w:line="240" w:lineRule="auto"/>
              <w:jc w:val="right"/>
            </w:pPr>
            <w:r>
              <w:rPr>
                <w:b/>
                <w:sz w:val="18"/>
                <w:szCs w:val="18"/>
              </w:rPr>
              <w:t xml:space="preserve">Ödenecek KDV</w:t>
            </w:r>
            <w:r>
              <w:rPr>
                <w:b/>
                <w:sz w:val="18"/>
                <w:szCs w:val="18"/>
              </w:rPr>
              <w:br/>
            </w:r>
            <w:r>
              <w:rPr>
                <w:b/>
                <w:sz w:val="18"/>
                <w:szCs w:val="18"/>
              </w:rPr>
              <w:t xml:space="preserve">Beyan Edilen</w:t>
            </w:r>
          </w:p>
        </w:tc>
        <w:tc>
          <w:tcPr>
            <w:tcW w:w="1247" w:type="dxa"/>
            <w:shd w:val="clear" w:color="auto" w:fill="D9D9D9"/>
            <w:vAlign w:val="center"/>
          </w:tcPr>
          <w:p>
            <w:pPr>
              <w:spacing w:before="40" w:after="40" w:line="240" w:lineRule="auto"/>
              <w:jc w:val="right"/>
            </w:pPr>
            <w:r>
              <w:rPr>
                <w:b/>
                <w:sz w:val="18"/>
                <w:szCs w:val="18"/>
              </w:rPr>
              <w:t xml:space="preserve">Re’sen Tarhı</w:t>
            </w:r>
            <w:r>
              <w:rPr>
                <w:b/>
                <w:sz w:val="18"/>
                <w:szCs w:val="18"/>
              </w:rPr>
              <w:br/>
            </w:r>
            <w:r>
              <w:rPr>
                <w:b/>
                <w:sz w:val="18"/>
                <w:szCs w:val="18"/>
              </w:rPr>
              <w:t xml:space="preserve">Gereken KDV</w:t>
            </w:r>
          </w:p>
        </w:tc>
        <w:tc>
          <w:tcPr>
            <w:tcW w:w="1247" w:type="dxa"/>
            <w:shd w:val="clear" w:color="auto" w:fill="D9D9D9"/>
            <w:vAlign w:val="center"/>
          </w:tcPr>
          <w:p>
            <w:pPr>
              <w:spacing w:before="40" w:after="40" w:line="240" w:lineRule="auto"/>
              <w:jc w:val="right"/>
            </w:pPr>
            <w:r>
              <w:rPr>
                <w:b/>
                <w:sz w:val="18"/>
                <w:szCs w:val="18"/>
              </w:rPr>
              <w:t xml:space="preserve">İade Edil. KDV</w:t>
            </w:r>
            <w:r>
              <w:rPr>
                <w:b/>
                <w:sz w:val="18"/>
                <w:szCs w:val="18"/>
              </w:rPr>
              <w:br/>
            </w:r>
            <w:r>
              <w:rPr>
                <w:b/>
                <w:sz w:val="18"/>
                <w:szCs w:val="18"/>
              </w:rPr>
              <w:t xml:space="preserve">Olması Gereken</w:t>
            </w:r>
          </w:p>
        </w:tc>
        <w:tc>
          <w:tcPr>
            <w:tcW w:w="1247" w:type="dxa"/>
            <w:shd w:val="clear" w:color="auto" w:fill="D9D9D9"/>
            <w:vAlign w:val="center"/>
          </w:tcPr>
          <w:p>
            <w:pPr>
              <w:spacing w:before="40" w:after="40" w:line="240" w:lineRule="auto"/>
              <w:jc w:val="right"/>
            </w:pPr>
            <w:r>
              <w:rPr>
                <w:b/>
                <w:sz w:val="18"/>
                <w:szCs w:val="18"/>
              </w:rPr>
              <w:t xml:space="preserve">İade Edil. KDV</w:t>
            </w:r>
            <w:r>
              <w:rPr>
                <w:b/>
                <w:sz w:val="18"/>
                <w:szCs w:val="18"/>
              </w:rPr>
              <w:br/>
            </w:r>
            <w:r>
              <w:rPr>
                <w:b/>
                <w:sz w:val="18"/>
                <w:szCs w:val="18"/>
              </w:rPr>
              <w:t xml:space="preserve">Beyan Edilen</w:t>
            </w:r>
          </w:p>
        </w:tc>
        <w:tc>
          <w:tcPr>
            <w:tcW w:w="1133" w:type="dxa"/>
            <w:shd w:val="clear" w:color="auto" w:fill="D9D9D9"/>
            <w:vAlign w:val="center"/>
          </w:tcPr>
          <w:p>
            <w:pPr>
              <w:spacing w:before="40" w:after="40" w:line="240" w:lineRule="auto"/>
              <w:jc w:val="right"/>
            </w:pPr>
            <w:r>
              <w:rPr>
                <w:b/>
                <w:sz w:val="18"/>
                <w:szCs w:val="18"/>
              </w:rPr>
              <w:t xml:space="preserve">Aranması Ger.</w:t>
            </w:r>
            <w:r>
              <w:rPr>
                <w:b/>
                <w:sz w:val="18"/>
                <w:szCs w:val="18"/>
              </w:rPr>
              <w:br/>
            </w:r>
            <w:r>
              <w:rPr>
                <w:b/>
                <w:sz w:val="18"/>
                <w:szCs w:val="18"/>
              </w:rPr>
              <w:t xml:space="preserve">KDV</w:t>
            </w:r>
          </w:p>
        </w:tc>
        <w:tc>
          <w:tcPr>
            <w:tcW w:w="1250" w:type="dxa"/>
            <w:shd w:val="clear" w:color="auto" w:fill="D9D9D9"/>
            <w:vAlign w:val="center"/>
          </w:tcPr>
          <w:p>
            <w:pPr>
              <w:spacing w:before="40" w:after="40" w:line="240" w:lineRule="auto"/>
              <w:jc w:val="right"/>
            </w:pPr>
            <w:r>
              <w:rPr>
                <w:b/>
                <w:sz w:val="18"/>
                <w:szCs w:val="18"/>
              </w:rPr>
              <w:t xml:space="preserve">Re’sen Tarhı</w:t>
            </w:r>
            <w:r>
              <w:rPr>
                <w:b/>
                <w:sz w:val="18"/>
                <w:szCs w:val="18"/>
              </w:rPr>
              <w:br/>
            </w:r>
            <w:r>
              <w:rPr>
                <w:b/>
                <w:sz w:val="18"/>
                <w:szCs w:val="18"/>
              </w:rPr>
              <w:t xml:space="preserve">Ger. Toplam</w:t>
            </w:r>
          </w:p>
        </w:tc>
      </w:tr>
      <w:tr>
        <w:tc>
          <w:tcPr>
            <w:tcW w:w="1020" w:type="dxa"/>
            <w:vAlign w:val="center"/>
          </w:tcPr>
          <w:p>
            <w:pPr>
              <w:spacing w:before="40" w:after="40" w:line="240" w:lineRule="auto"/>
              <w:jc w:val="left"/>
            </w:pPr>
            <w:r>
              <w:rPr>
                <w:sz w:val="18"/>
                <w:szCs w:val="18"/>
              </w:rPr>
              <w:t xml:space="preserve">2023/Mart</w:t>
            </w:r>
          </w:p>
        </w:tc>
        <w:tc>
          <w:tcPr>
            <w:tcW w:w="1247" w:type="dxa"/>
            <w:vAlign w:val="center"/>
          </w:tcPr>
          <w:p>
            <w:pPr>
              <w:spacing w:before="40" w:after="40" w:line="240" w:lineRule="auto"/>
              <w:jc w:val="right"/>
            </w:pPr>
            <w:r>
              <w:rPr>
                <w:sz w:val="18"/>
                <w:szCs w:val="18"/>
              </w:rPr>
              <w:t xml:space="preserve">8.619,20</w:t>
            </w:r>
          </w:p>
        </w:tc>
        <w:tc>
          <w:tcPr>
            <w:tcW w:w="1247" w:type="dxa"/>
            <w:vAlign w:val="center"/>
          </w:tcPr>
          <w:p>
            <w:pPr>
              <w:spacing w:before="40" w:after="40" w:line="240" w:lineRule="auto"/>
              <w:jc w:val="right"/>
            </w:pPr>
            <w:r>
              <w:rPr>
                <w:sz w:val="18"/>
                <w:szCs w:val="18"/>
              </w:rPr>
              <w:t xml:space="preserve">5.000,00</w:t>
            </w:r>
          </w:p>
        </w:tc>
        <w:tc>
          <w:tcPr>
            <w:tcW w:w="1247" w:type="dxa"/>
            <w:vAlign w:val="center"/>
          </w:tcPr>
          <w:p>
            <w:pPr>
              <w:spacing w:before="40" w:after="40" w:line="240" w:lineRule="auto"/>
              <w:jc w:val="right"/>
            </w:pPr>
            <w:r>
              <w:rPr>
                <w:sz w:val="18"/>
                <w:szCs w:val="18"/>
              </w:rPr>
              <w:t xml:space="preserve">3.619,20</w:t>
            </w:r>
          </w:p>
        </w:tc>
        <w:tc>
          <w:tcPr>
            <w:tcW w:w="1247" w:type="dxa"/>
            <w:vAlign w:val="center"/>
          </w:tcPr>
          <w:p>
            <w:pPr>
              <w:spacing w:before="40" w:after="40" w:line="240" w:lineRule="auto"/>
              <w:jc w:val="right"/>
            </w:pPr>
            <w:r>
              <w:rPr>
                <w:sz w:val="18"/>
                <w:szCs w:val="18"/>
              </w:rPr>
              <w:t xml:space="preserve">0,00</w:t>
            </w:r>
          </w:p>
        </w:tc>
        <w:tc>
          <w:tcPr>
            <w:tcW w:w="1247" w:type="dxa"/>
            <w:vAlign w:val="center"/>
          </w:tcPr>
          <w:p>
            <w:pPr>
              <w:spacing w:before="40" w:after="40" w:line="240" w:lineRule="auto"/>
              <w:jc w:val="right"/>
            </w:pPr>
            <w:r>
              <w:rPr>
                <w:sz w:val="18"/>
                <w:szCs w:val="18"/>
              </w:rPr>
              <w:t xml:space="preserve">0,00</w:t>
            </w:r>
          </w:p>
        </w:tc>
        <w:tc>
          <w:tcPr>
            <w:tcW w:w="1133" w:type="dxa"/>
            <w:vAlign w:val="center"/>
          </w:tcPr>
          <w:p>
            <w:pPr>
              <w:spacing w:before="40" w:after="40" w:line="240" w:lineRule="auto"/>
              <w:jc w:val="right"/>
            </w:pPr>
            <w:r>
              <w:rPr>
                <w:sz w:val="18"/>
                <w:szCs w:val="18"/>
              </w:rPr>
              <w:t xml:space="preserve">0,00</w:t>
            </w:r>
          </w:p>
        </w:tc>
        <w:tc>
          <w:tcPr>
            <w:tcW w:w="1250" w:type="dxa"/>
            <w:vAlign w:val="center"/>
          </w:tcPr>
          <w:p>
            <w:pPr>
              <w:spacing w:before="40" w:after="40" w:line="240" w:lineRule="auto"/>
              <w:jc w:val="right"/>
            </w:pPr>
            <w:r>
              <w:rPr>
                <w:sz w:val="18"/>
                <w:szCs w:val="18"/>
              </w:rPr>
              <w:t xml:space="preserve">3.619,20</w:t>
            </w:r>
          </w:p>
        </w:tc>
      </w:tr>
      <w:tr>
        <w:tc>
          <w:tcPr>
            <w:tcW w:w="1020" w:type="dxa"/>
            <w:vAlign w:val="center"/>
          </w:tcPr>
          <w:p>
            <w:pPr>
              <w:spacing w:before="40" w:after="40" w:line="240" w:lineRule="auto"/>
              <w:jc w:val="left"/>
            </w:pPr>
            <w:r>
              <w:rPr>
                <w:sz w:val="18"/>
                <w:szCs w:val="18"/>
              </w:rPr>
              <w:t xml:space="preserve">2023/Haziran</w:t>
            </w:r>
          </w:p>
        </w:tc>
        <w:tc>
          <w:tcPr>
            <w:tcW w:w="1247" w:type="dxa"/>
            <w:vAlign w:val="center"/>
          </w:tcPr>
          <w:p>
            <w:pPr>
              <w:spacing w:before="40" w:after="40" w:line="240" w:lineRule="auto"/>
              <w:jc w:val="right"/>
            </w:pPr>
            <w:r>
              <w:rPr>
                <w:sz w:val="18"/>
                <w:szCs w:val="18"/>
              </w:rPr>
              <w:t xml:space="preserve">53.155,93</w:t>
            </w:r>
          </w:p>
        </w:tc>
        <w:tc>
          <w:tcPr>
            <w:tcW w:w="1247" w:type="dxa"/>
            <w:vAlign w:val="center"/>
          </w:tcPr>
          <w:p>
            <w:pPr>
              <w:spacing w:before="40" w:after="40" w:line="240" w:lineRule="auto"/>
              <w:jc w:val="right"/>
            </w:pPr>
            <w:r>
              <w:rPr>
                <w:sz w:val="18"/>
                <w:szCs w:val="18"/>
              </w:rPr>
              <w:t xml:space="preserve">5.000,00</w:t>
            </w:r>
          </w:p>
        </w:tc>
        <w:tc>
          <w:tcPr>
            <w:tcW w:w="1247" w:type="dxa"/>
            <w:vAlign w:val="center"/>
          </w:tcPr>
          <w:p>
            <w:pPr>
              <w:spacing w:before="40" w:after="40" w:line="240" w:lineRule="auto"/>
              <w:jc w:val="right"/>
            </w:pPr>
            <w:r>
              <w:rPr>
                <w:sz w:val="18"/>
                <w:szCs w:val="18"/>
              </w:rPr>
              <w:t xml:space="preserve">48.155,93</w:t>
            </w:r>
          </w:p>
        </w:tc>
        <w:tc>
          <w:tcPr>
            <w:tcW w:w="1247" w:type="dxa"/>
            <w:vAlign w:val="center"/>
          </w:tcPr>
          <w:p>
            <w:pPr>
              <w:spacing w:before="40" w:after="40" w:line="240" w:lineRule="auto"/>
              <w:jc w:val="right"/>
            </w:pPr>
            <w:r>
              <w:rPr>
                <w:sz w:val="18"/>
                <w:szCs w:val="18"/>
              </w:rPr>
              <w:t xml:space="preserve">0,00</w:t>
            </w:r>
          </w:p>
        </w:tc>
        <w:tc>
          <w:tcPr>
            <w:tcW w:w="1247" w:type="dxa"/>
            <w:vAlign w:val="center"/>
          </w:tcPr>
          <w:p>
            <w:pPr>
              <w:spacing w:before="40" w:after="40" w:line="240" w:lineRule="auto"/>
              <w:jc w:val="right"/>
            </w:pPr>
            <w:r>
              <w:rPr>
                <w:sz w:val="18"/>
                <w:szCs w:val="18"/>
              </w:rPr>
              <w:t xml:space="preserve">0,00</w:t>
            </w:r>
          </w:p>
        </w:tc>
        <w:tc>
          <w:tcPr>
            <w:tcW w:w="1133" w:type="dxa"/>
            <w:vAlign w:val="center"/>
          </w:tcPr>
          <w:p>
            <w:pPr>
              <w:spacing w:before="40" w:after="40" w:line="240" w:lineRule="auto"/>
              <w:jc w:val="right"/>
            </w:pPr>
            <w:r>
              <w:rPr>
                <w:sz w:val="18"/>
                <w:szCs w:val="18"/>
              </w:rPr>
              <w:t xml:space="preserve">0,00</w:t>
            </w:r>
          </w:p>
        </w:tc>
        <w:tc>
          <w:tcPr>
            <w:tcW w:w="1250" w:type="dxa"/>
            <w:vAlign w:val="center"/>
          </w:tcPr>
          <w:p>
            <w:pPr>
              <w:spacing w:before="40" w:after="40" w:line="240" w:lineRule="auto"/>
              <w:jc w:val="right"/>
            </w:pPr>
            <w:r>
              <w:rPr>
                <w:sz w:val="18"/>
                <w:szCs w:val="18"/>
              </w:rPr>
              <w:t xml:space="preserve">48.155,93</w:t>
            </w:r>
          </w:p>
        </w:tc>
      </w:tr>
      <w:tr>
        <w:tc>
          <w:tcPr>
            <w:tcW w:w="1020" w:type="dxa"/>
            <w:shd w:val="clear" w:color="auto" w:fill="EDEDED"/>
            <w:vAlign w:val="center"/>
          </w:tcPr>
          <w:p>
            <w:pPr>
              <w:spacing w:before="40" w:after="40" w:line="240" w:lineRule="auto"/>
              <w:jc w:val="left"/>
            </w:pPr>
            <w:r>
              <w:rPr>
                <w:b/>
                <w:sz w:val="18"/>
                <w:szCs w:val="18"/>
              </w:rPr>
              <w:t xml:space="preserve">Toplam:</w:t>
            </w:r>
          </w:p>
        </w:tc>
        <w:tc>
          <w:tcPr>
            <w:tcW w:w="1247" w:type="dxa"/>
            <w:shd w:val="clear" w:color="auto" w:fill="EDEDED"/>
            <w:vAlign w:val="center"/>
          </w:tcPr>
          <w:p>
            <w:pPr>
              <w:spacing w:before="40" w:after="40" w:line="240" w:lineRule="auto"/>
              <w:jc w:val="right"/>
            </w:pPr>
            <w:r>
              <w:rPr>
                <w:b/>
                <w:sz w:val="18"/>
                <w:szCs w:val="18"/>
              </w:rPr>
              <w:t xml:space="preserve">61.775,13</w:t>
            </w:r>
          </w:p>
        </w:tc>
        <w:tc>
          <w:tcPr>
            <w:tcW w:w="1247" w:type="dxa"/>
            <w:shd w:val="clear" w:color="auto" w:fill="EDEDED"/>
            <w:vAlign w:val="center"/>
          </w:tcPr>
          <w:p>
            <w:pPr>
              <w:spacing w:before="40" w:after="40" w:line="240" w:lineRule="auto"/>
              <w:jc w:val="right"/>
            </w:pPr>
            <w:r>
              <w:rPr>
                <w:b/>
                <w:sz w:val="18"/>
                <w:szCs w:val="18"/>
              </w:rPr>
              <w:t xml:space="preserve">10.000,00</w:t>
            </w:r>
          </w:p>
        </w:tc>
        <w:tc>
          <w:tcPr>
            <w:tcW w:w="1247" w:type="dxa"/>
            <w:shd w:val="clear" w:color="auto" w:fill="EDEDED"/>
            <w:vAlign w:val="center"/>
          </w:tcPr>
          <w:p>
            <w:pPr>
              <w:spacing w:before="40" w:after="40" w:line="240" w:lineRule="auto"/>
              <w:jc w:val="right"/>
            </w:pPr>
            <w:r>
              <w:rPr>
                <w:b/>
                <w:sz w:val="18"/>
                <w:szCs w:val="18"/>
              </w:rPr>
              <w:t xml:space="preserve">51.775,13</w:t>
            </w:r>
          </w:p>
        </w:tc>
        <w:tc>
          <w:tcPr>
            <w:tcW w:w="1247" w:type="dxa"/>
            <w:shd w:val="clear" w:color="auto" w:fill="EDEDED"/>
            <w:vAlign w:val="center"/>
          </w:tcPr>
          <w:p>
            <w:pPr>
              <w:spacing w:before="40" w:after="40" w:line="240" w:lineRule="auto"/>
              <w:jc w:val="right"/>
            </w:pPr>
            <w:r>
              <w:rPr>
                <w:b/>
                <w:sz w:val="18"/>
                <w:szCs w:val="18"/>
              </w:rPr>
              <w:t xml:space="preserve">0,00</w:t>
            </w:r>
          </w:p>
        </w:tc>
        <w:tc>
          <w:tcPr>
            <w:tcW w:w="1247" w:type="dxa"/>
            <w:shd w:val="clear" w:color="auto" w:fill="EDEDED"/>
            <w:vAlign w:val="center"/>
          </w:tcPr>
          <w:p>
            <w:pPr>
              <w:spacing w:before="40" w:after="40" w:line="240" w:lineRule="auto"/>
              <w:jc w:val="right"/>
            </w:pPr>
            <w:r>
              <w:rPr>
                <w:b/>
                <w:sz w:val="18"/>
                <w:szCs w:val="18"/>
              </w:rPr>
              <w:t xml:space="preserve">0,00</w:t>
            </w:r>
          </w:p>
        </w:tc>
        <w:tc>
          <w:tcPr>
            <w:tcW w:w="1133" w:type="dxa"/>
            <w:shd w:val="clear" w:color="auto" w:fill="EDEDED"/>
            <w:vAlign w:val="center"/>
          </w:tcPr>
          <w:p>
            <w:pPr>
              <w:spacing w:before="40" w:after="40" w:line="240" w:lineRule="auto"/>
              <w:jc w:val="right"/>
            </w:pPr>
            <w:r>
              <w:rPr>
                <w:b/>
                <w:sz w:val="18"/>
                <w:szCs w:val="18"/>
              </w:rPr>
              <w:t xml:space="preserve">0,00</w:t>
            </w:r>
          </w:p>
        </w:tc>
        <w:tc>
          <w:tcPr>
            <w:tcW w:w="1250" w:type="dxa"/>
            <w:shd w:val="clear" w:color="auto" w:fill="EDEDED"/>
            <w:vAlign w:val="center"/>
          </w:tcPr>
          <w:p>
            <w:pPr>
              <w:spacing w:before="40" w:after="40" w:line="240" w:lineRule="auto"/>
              <w:jc w:val="right"/>
            </w:pPr>
            <w:r>
              <w:rPr>
                <w:b/>
                <w:sz w:val="18"/>
                <w:szCs w:val="18"/>
              </w:rPr>
              <w:t xml:space="preserve">51.775,13</w:t>
            </w:r>
          </w:p>
        </w:tc>
      </w:tr>
    </w:tbl>
    <w:p>
      <w:pPr>
        <w:spacing w:after="120"/>
      </w:pPr>
    </w:p>
    <w:p>
      <w:pPr>
        <w:spacing w:before="0" w:after="120" w:line="360" w:lineRule="auto"/>
        <w:ind w:firstLine="567"/>
        <w:jc w:val="both"/>
      </w:pPr>
      <w:r>
        <w:rPr>
          <w:color w:val="C00000"/>
        </w:rPr>
        <w:t xml:space="preserve">[Sonuç bölümüne eklenecek tespit notu]</w:t>
      </w:r>
    </w:p>
    <w:p>
      <w:pPr>
        <w:spacing w:before="120" w:after="120" w:line="360" w:lineRule="auto"/>
        <w:ind w:firstLine="567"/>
        <w:jc w:val="both"/>
      </w:pPr>
      <w:r>
        <w:t xml:space="preserve">Sonucuna varılmıştır.</w:t>
      </w:r>
    </w:p>
    <w:p>
      <w:pPr>
        <w:spacing w:before="0" w:after="0" w:line="360" w:lineRule="auto"/>
        <w:jc w:val="both"/>
      </w:pPr>
      <w:r/>
    </w:p>
    <w:p>
      <w:pPr>
        <w:spacing w:before="0" w:after="0" w:line="360" w:lineRule="auto"/>
        <w:jc w:val="both"/>
      </w:pPr>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638"/>
      </w:tblGrid>
      <w:tr>
        <w:trPr>
          <w:tblHeader/>
        </w:trPr>
        <w:tc>
          <w:tcPr>
            <w:tcW w:w="9638" w:type="dxa"/>
            <w:shd w:val="clear" w:color="auto" w:fill="D9D9D9"/>
            <w:vAlign w:val="center"/>
          </w:tcPr>
          <w:p>
            <w:pPr>
              <w:spacing w:before="40" w:after="40" w:line="240" w:lineRule="auto"/>
              <w:jc w:val="center"/>
            </w:pPr>
            <w:r>
              <w:rPr>
                <w:b/>
              </w:rPr>
              <w:t xml:space="preserve">Gelir Uzmanı</w:t>
            </w:r>
          </w:p>
        </w:tc>
      </w:tr>
      <w:tr>
        <w:tc>
          <w:tcPr>
            <w:tcW w:w="9638" w:type="dxa"/>
            <w:vAlign w:val="center"/>
          </w:tcPr>
          <w:p>
            <w:pPr>
              <w:spacing w:before="40" w:after="40" w:line="240" w:lineRule="auto"/>
              <w:jc w:val="center"/>
            </w:pPr>
            <w:r>
              <w:br/>
            </w:r>
            <w:r>
              <w:br/>
            </w:r>
          </w:p>
        </w:tc>
      </w:tr>
      <w:tr>
        <w:tc>
          <w:tcPr>
            <w:tcW w:w="9638" w:type="dxa"/>
            <w:vAlign w:val="center"/>
          </w:tcPr>
          <w:p>
            <w:pPr>
              <w:spacing w:before="40" w:after="40" w:line="240" w:lineRule="auto"/>
              <w:jc w:val="center"/>
            </w:pPr>
            <w:r>
              <w:t xml:space="preserve">Hasan AHMET</w:t>
            </w:r>
          </w:p>
        </w:tc>
      </w:tr>
    </w:tbl>
    <w:p>
      <w:pPr>
        <w:spacing w:after="120"/>
      </w:pPr>
    </w:p>
    <w:p>
      <w:pPr>
        <w:spacing w:before="0" w:after="0" w:line="360" w:lineRule="auto"/>
        <w:jc w:val="both"/>
      </w:pPr>
      <w:r/>
    </w:p>
    <w:p>
      <w:pPr>
        <w:spacing w:before="0" w:after="120" w:line="360" w:lineRule="auto"/>
        <w:jc w:val="center"/>
      </w:pPr>
      <w:r>
        <w:rPr>
          <w:i/>
          <w:sz w:val="18"/>
          <w:szCs w:val="18"/>
        </w:rPr>
        <w:t xml:space="preserve">Bu belge 10.08.2026 tarihinde KDV İnceleme Çalışması uygulamasıyla taslak olarak üretilmiştir; imzaya hazır nihai belge değildir.</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tr-TR"/>
      </w:rPr>
    </w:rPrDefault>
    <w:pPrDefault>
      <w:pPr>
        <w:spacing w:after="120" w:line="360" w:lineRule="auto"/>
      </w:pPr>
    </w:pPrDefault>
  </w:docDefaults>
  <w:style w:type="paragraph" w:default="1" w:styleId="Normal">
    <w:name w:val="Normal"/>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