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8DE" w:rsidRPr="00B92AC3" w:rsidRDefault="009A39D1">
      <w:pPr>
        <w:spacing w:after="0" w:line="240" w:lineRule="auto"/>
        <w:jc w:val="center"/>
        <w:rPr>
          <w:rFonts w:ascii="Times New Roman" w:hAnsi="Times New Roman"/>
          <w:szCs w:val="22"/>
        </w:rPr>
      </w:pPr>
      <w:r w:rsidRPr="00B92AC3">
        <w:rPr>
          <w:rFonts w:ascii="Times New Roman" w:hAnsi="Times New Roman"/>
          <w:szCs w:val="22"/>
        </w:rPr>
        <w:t>Возражения на кассационную жалобу</w:t>
      </w:r>
    </w:p>
    <w:p w:rsidR="000118DE" w:rsidRDefault="009A39D1">
      <w:pPr>
        <w:spacing w:before="120" w:after="12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Истец считает апелляционное Определение законным, обоснованным, вынесенным без нарушения норм материального и процессуального права, и отвечающим признакам законности и обоснованности.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Истцы являются собственниками земельных участков, расположенных в </w:t>
      </w:r>
      <w:r>
        <w:rPr>
          <w:rFonts w:ascii="Times New Roman" w:hAnsi="Times New Roman"/>
          <w:color w:val="000000"/>
        </w:rPr>
        <w:t>поселке Пески Полянского сельского поселения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Выборгского района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>Ленинградской области. Часть истцов (</w:t>
      </w:r>
      <w:r>
        <w:rPr>
          <w:rFonts w:ascii="Times New Roman" w:hAnsi="Times New Roman"/>
        </w:rPr>
        <w:t>Лукьянов А.А., Чичерина С.В., Зотова А.А.,</w:t>
      </w:r>
      <w:r>
        <w:rPr>
          <w:rFonts w:ascii="Times New Roman" w:hAnsi="Times New Roman"/>
          <w:color w:val="000000"/>
        </w:rPr>
        <w:t xml:space="preserve"> Седова И.А., Павлов А.В., Изосимов А.М.) </w:t>
      </w:r>
      <w:r>
        <w:rPr>
          <w:rFonts w:ascii="Times New Roman" w:hAnsi="Times New Roman"/>
        </w:rPr>
        <w:t xml:space="preserve">являлись членами ТСН «Акватория».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 xml:space="preserve">В период с «07» декабря 2022 года по «22» декабря 2022 года посредством очно-заочного голосования по инициативе  правления было проведено внеочередное общее собрание </w:t>
      </w:r>
      <w:r>
        <w:rPr>
          <w:rFonts w:ascii="Times New Roman" w:hAnsi="Times New Roman"/>
          <w:b/>
        </w:rPr>
        <w:t>собственников</w:t>
      </w:r>
      <w:r>
        <w:rPr>
          <w:rFonts w:ascii="Times New Roman" w:hAnsi="Times New Roman"/>
        </w:rPr>
        <w:t xml:space="preserve"> (опросным путём), оформленное протоколом № 3/2022 от 22.12.2022 г.,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дату открытия общего собрания </w:t>
      </w:r>
      <w:r>
        <w:rPr>
          <w:rFonts w:ascii="Times New Roman" w:hAnsi="Times New Roman"/>
          <w:color w:val="000000"/>
        </w:rPr>
        <w:t>в границах ТСН расположено 522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земельных участка, соответственно общее количество собственников -  </w:t>
      </w:r>
      <w:r>
        <w:rPr>
          <w:rFonts w:ascii="Times New Roman" w:hAnsi="Times New Roman"/>
          <w:b/>
          <w:color w:val="000000"/>
        </w:rPr>
        <w:t xml:space="preserve">522 </w:t>
      </w:r>
      <w:r>
        <w:rPr>
          <w:rFonts w:ascii="Times New Roman" w:hAnsi="Times New Roman"/>
          <w:color w:val="000000"/>
        </w:rPr>
        <w:t xml:space="preserve">собственника </w:t>
      </w:r>
      <w:r>
        <w:rPr>
          <w:rFonts w:ascii="Times New Roman" w:hAnsi="Times New Roman"/>
          <w:i/>
        </w:rPr>
        <w:t>(</w:t>
      </w:r>
      <w:proofErr w:type="spellStart"/>
      <w:r>
        <w:rPr>
          <w:rFonts w:ascii="Times New Roman" w:hAnsi="Times New Roman"/>
          <w:i/>
        </w:rPr>
        <w:t>л.д</w:t>
      </w:r>
      <w:proofErr w:type="spellEnd"/>
      <w:r>
        <w:rPr>
          <w:rFonts w:ascii="Times New Roman" w:hAnsi="Times New Roman"/>
          <w:i/>
        </w:rPr>
        <w:t xml:space="preserve">. 208-219 Том 3, </w:t>
      </w:r>
      <w:proofErr w:type="spellStart"/>
      <w:r>
        <w:rPr>
          <w:rFonts w:ascii="Times New Roman" w:hAnsi="Times New Roman"/>
          <w:i/>
        </w:rPr>
        <w:t>л.д</w:t>
      </w:r>
      <w:proofErr w:type="spellEnd"/>
      <w:r>
        <w:rPr>
          <w:rFonts w:ascii="Times New Roman" w:hAnsi="Times New Roman"/>
          <w:i/>
        </w:rPr>
        <w:t>. 6 Том 4)</w:t>
      </w:r>
      <w:r>
        <w:rPr>
          <w:rFonts w:ascii="Times New Roman" w:hAnsi="Times New Roman"/>
        </w:rPr>
        <w:t xml:space="preserve">, а общее количество членов в ТСН «Акватория» – </w:t>
      </w:r>
      <w:r>
        <w:rPr>
          <w:rFonts w:ascii="Times New Roman" w:hAnsi="Times New Roman"/>
          <w:b/>
        </w:rPr>
        <w:t xml:space="preserve">169 </w:t>
      </w:r>
      <w:r>
        <w:rPr>
          <w:rFonts w:ascii="Times New Roman" w:hAnsi="Times New Roman"/>
        </w:rPr>
        <w:t xml:space="preserve">человек.  </w:t>
      </w:r>
      <w:r>
        <w:rPr>
          <w:rFonts w:ascii="Times New Roman" w:hAnsi="Times New Roman"/>
          <w:color w:val="000000"/>
        </w:rPr>
        <w:t xml:space="preserve">В общем собрании приняли участие </w:t>
      </w:r>
      <w:r>
        <w:rPr>
          <w:rFonts w:ascii="Times New Roman" w:hAnsi="Times New Roman"/>
          <w:b/>
          <w:color w:val="000000"/>
        </w:rPr>
        <w:t xml:space="preserve">184 </w:t>
      </w:r>
      <w:r>
        <w:rPr>
          <w:rFonts w:ascii="Times New Roman" w:hAnsi="Times New Roman"/>
          <w:color w:val="000000"/>
        </w:rPr>
        <w:t xml:space="preserve">собственника </w:t>
      </w:r>
      <w:r>
        <w:rPr>
          <w:rFonts w:ascii="Times New Roman" w:hAnsi="Times New Roman"/>
          <w:b/>
          <w:color w:val="000000"/>
        </w:rPr>
        <w:t>из 522</w:t>
      </w:r>
      <w:r>
        <w:rPr>
          <w:rFonts w:ascii="Times New Roman" w:hAnsi="Times New Roman"/>
          <w:color w:val="000000"/>
        </w:rPr>
        <w:t xml:space="preserve">, из них члены ТСН - </w:t>
      </w:r>
      <w:r>
        <w:rPr>
          <w:rFonts w:ascii="Times New Roman" w:hAnsi="Times New Roman"/>
          <w:b/>
          <w:color w:val="000000"/>
        </w:rPr>
        <w:t>169 человек</w:t>
      </w:r>
      <w:r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</w:rPr>
        <w:t xml:space="preserve"> При этом</w:t>
      </w:r>
      <w:r>
        <w:rPr>
          <w:rFonts w:ascii="Times New Roman" w:hAnsi="Times New Roman"/>
          <w:b/>
        </w:rPr>
        <w:t xml:space="preserve"> кворум отсутствовал.</w:t>
      </w:r>
    </w:p>
    <w:p w:rsidR="000118DE" w:rsidRDefault="009A39D1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Согласно Протоколу № 3/2022 от 22.12.2022 г. в период с 07.12.2022  по 22.12.2022 г. было проведено внеочередное общее собрание </w:t>
      </w:r>
      <w:r>
        <w:rPr>
          <w:rFonts w:ascii="Times New Roman" w:hAnsi="Times New Roman"/>
          <w:u w:val="single"/>
        </w:rPr>
        <w:t>собственников</w:t>
      </w:r>
      <w:r>
        <w:rPr>
          <w:rFonts w:ascii="Times New Roman" w:hAnsi="Times New Roman"/>
        </w:rPr>
        <w:t xml:space="preserve"> в форме очно-заочного голосования (</w:t>
      </w:r>
      <w:proofErr w:type="spellStart"/>
      <w:r>
        <w:rPr>
          <w:rFonts w:ascii="Times New Roman" w:hAnsi="Times New Roman"/>
          <w:i/>
        </w:rPr>
        <w:t>л.д</w:t>
      </w:r>
      <w:proofErr w:type="spellEnd"/>
      <w:r>
        <w:rPr>
          <w:rFonts w:ascii="Times New Roman" w:hAnsi="Times New Roman"/>
          <w:i/>
        </w:rPr>
        <w:t>. 42-44 Том 1</w:t>
      </w:r>
      <w:r>
        <w:rPr>
          <w:rFonts w:ascii="Times New Roman" w:hAnsi="Times New Roman"/>
        </w:rPr>
        <w:t xml:space="preserve">). При этом, все вопросы повестки дня относились к компетенции собственников, за исключением вопросов 6 (Избрание членов ревизионной комиссии) и 10 (Принятие в члены ТСН «Акватория» повестки дня, которые относились к компетенции общего собрания членов ТСН. При этом разделения вопросов и отдельные бюллетени для членов ТСН и </w:t>
      </w:r>
      <w:proofErr w:type="gramStart"/>
      <w:r>
        <w:rPr>
          <w:rFonts w:ascii="Times New Roman" w:hAnsi="Times New Roman"/>
        </w:rPr>
        <w:t>собственников, не являющихся членами ТСН предусмотрены</w:t>
      </w:r>
      <w:proofErr w:type="gramEnd"/>
      <w:r>
        <w:rPr>
          <w:rFonts w:ascii="Times New Roman" w:hAnsi="Times New Roman"/>
        </w:rPr>
        <w:t xml:space="preserve"> не были.</w:t>
      </w:r>
    </w:p>
    <w:p w:rsidR="000118DE" w:rsidRDefault="009A39D1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 w:rsidRPr="00855B7B">
        <w:rPr>
          <w:rFonts w:ascii="Times New Roman" w:hAnsi="Times New Roman"/>
        </w:rPr>
        <w:t xml:space="preserve">Фактически на повестку дня были поставлены вопросы </w:t>
      </w:r>
      <w:r w:rsidR="00855B7B" w:rsidRPr="00855B7B">
        <w:rPr>
          <w:rFonts w:ascii="Times New Roman" w:hAnsi="Times New Roman"/>
        </w:rPr>
        <w:t xml:space="preserve">не </w:t>
      </w:r>
      <w:r w:rsidRPr="00855B7B">
        <w:rPr>
          <w:rFonts w:ascii="Times New Roman" w:hAnsi="Times New Roman"/>
        </w:rPr>
        <w:t>только для членов ТСН</w:t>
      </w:r>
      <w:r w:rsidR="00855B7B">
        <w:rPr>
          <w:rFonts w:ascii="Times New Roman" w:hAnsi="Times New Roman"/>
        </w:rPr>
        <w:t>, но преимущественно для собственников</w:t>
      </w:r>
      <w:r w:rsidRPr="00855B7B">
        <w:rPr>
          <w:rFonts w:ascii="Times New Roman" w:hAnsi="Times New Roman"/>
        </w:rPr>
        <w:t>. При этом, кворум</w:t>
      </w:r>
      <w:r w:rsidR="00855B7B">
        <w:rPr>
          <w:rFonts w:ascii="Times New Roman" w:hAnsi="Times New Roman"/>
        </w:rPr>
        <w:t xml:space="preserve"> считался О</w:t>
      </w:r>
      <w:r>
        <w:rPr>
          <w:rFonts w:ascii="Times New Roman" w:hAnsi="Times New Roman"/>
        </w:rPr>
        <w:t xml:space="preserve">тветчиком не по собственникам, а исключительно по членам ТСН. </w:t>
      </w:r>
    </w:p>
    <w:p w:rsidR="000118DE" w:rsidRDefault="000118DE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</w:p>
    <w:p w:rsidR="000118DE" w:rsidRDefault="009A39D1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рассмотрении апелляционных жалоб Истцов Судом второй инстанции вопрос наличия либо отсутствия кворума рассмотрен в полном объеме и установлено, что кворум отсутствовал.</w:t>
      </w:r>
    </w:p>
    <w:p w:rsidR="000118DE" w:rsidRDefault="009A39D1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Довод в кассационной жалобе Ответчика в этой части не состоятелен. Кроме того, в соответствии с требованиями, установленными ст. 56 ГПК РФ Суд второй инстанции неоднократно предлагал стороне Ответчика представить доказательства, подтверждающие позицию Ответчика, однако в нарушение требований ст. 56 ГПК Ответчик от своей обязанности самовольно уклонился.</w:t>
      </w:r>
    </w:p>
    <w:p w:rsidR="000118DE" w:rsidRDefault="000118DE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</w:p>
    <w:p w:rsidR="000118DE" w:rsidRPr="0081332A" w:rsidRDefault="009A39D1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бюллетене отсутствует необходимая информация, позволяющая идентифицировать лицо, его заполнившее в части является ли он членом ТСН либо нет. В кассационной жалобе Ответчик сам указывает, что в бюллетене содержится графа: ФИО члена ТСН, </w:t>
      </w:r>
      <w:r w:rsidRPr="0081332A">
        <w:rPr>
          <w:rFonts w:ascii="Times New Roman" w:hAnsi="Times New Roman"/>
        </w:rPr>
        <w:t xml:space="preserve">однако в деле </w:t>
      </w:r>
      <w:r w:rsidR="0081332A" w:rsidRPr="0081332A">
        <w:rPr>
          <w:rFonts w:ascii="Times New Roman" w:hAnsi="Times New Roman"/>
        </w:rPr>
        <w:t xml:space="preserve">нет </w:t>
      </w:r>
      <w:r w:rsidRPr="0081332A">
        <w:rPr>
          <w:rFonts w:ascii="Times New Roman" w:hAnsi="Times New Roman"/>
        </w:rPr>
        <w:t>бюллетеней, в которых содержится строка: ФИО собственника земельного участка, не являющегося членом ТСН.</w:t>
      </w:r>
    </w:p>
    <w:p w:rsidR="000118DE" w:rsidRDefault="009A39D1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 w:rsidRPr="0081332A">
        <w:rPr>
          <w:rFonts w:ascii="Times New Roman" w:hAnsi="Times New Roman"/>
        </w:rPr>
        <w:t xml:space="preserve">Стороной Ответчика в материалы дела и на обозрение Суда первой инстанции  </w:t>
      </w:r>
      <w:r>
        <w:rPr>
          <w:rFonts w:ascii="Times New Roman" w:hAnsi="Times New Roman"/>
        </w:rPr>
        <w:t xml:space="preserve">были представлены исключительно ксерокопии бюллетеней, подлинники для обозрения предоставлены не были. </w:t>
      </w:r>
      <w:proofErr w:type="gramStart"/>
      <w:r>
        <w:rPr>
          <w:rFonts w:ascii="Times New Roman" w:hAnsi="Times New Roman"/>
        </w:rPr>
        <w:t xml:space="preserve">Протоколом осмотра письменных доказательств,  предоставленный также стороной Ответчика (т. 3 </w:t>
      </w:r>
      <w:proofErr w:type="spellStart"/>
      <w:r>
        <w:rPr>
          <w:rFonts w:ascii="Times New Roman" w:hAnsi="Times New Roman"/>
        </w:rPr>
        <w:t>л.д</w:t>
      </w:r>
      <w:proofErr w:type="spellEnd"/>
      <w:r>
        <w:rPr>
          <w:rFonts w:ascii="Times New Roman" w:hAnsi="Times New Roman"/>
        </w:rPr>
        <w:t>. 223-248) не представляется идентифицировать отправителей писем с бюллетенями в адрес ТСН «Акватория».</w:t>
      </w:r>
      <w:proofErr w:type="gramEnd"/>
    </w:p>
    <w:p w:rsidR="000118DE" w:rsidRDefault="009A39D1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Судом второй инстанции был подробно рассмотрен вопрос соответствия бюллетеней. В связи с чем доводы в этой части в кассационной жалобе не состоятельны.</w:t>
      </w:r>
    </w:p>
    <w:p w:rsidR="000118DE" w:rsidRDefault="000118DE">
      <w:pPr>
        <w:pStyle w:val="1"/>
        <w:widowControl w:val="0"/>
        <w:spacing w:line="240" w:lineRule="auto"/>
        <w:ind w:firstLine="567"/>
        <w:jc w:val="both"/>
        <w:rPr>
          <w:rFonts w:ascii="Times New Roman" w:hAnsi="Times New Roman"/>
        </w:rPr>
      </w:pP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Судом второй инстанции </w:t>
      </w:r>
      <w:proofErr w:type="gramStart"/>
      <w:r>
        <w:rPr>
          <w:rFonts w:ascii="Times New Roman" w:hAnsi="Times New Roman"/>
        </w:rPr>
        <w:t>как было уже указа</w:t>
      </w:r>
      <w:r w:rsidR="00B92AC3">
        <w:rPr>
          <w:rFonts w:ascii="Times New Roman" w:hAnsi="Times New Roman"/>
        </w:rPr>
        <w:t>но выше подробно был</w:t>
      </w:r>
      <w:proofErr w:type="gramEnd"/>
      <w:r w:rsidR="00B92AC3">
        <w:rPr>
          <w:rFonts w:ascii="Times New Roman" w:hAnsi="Times New Roman"/>
        </w:rPr>
        <w:t xml:space="preserve"> рассмотрен</w:t>
      </w:r>
      <w:r>
        <w:rPr>
          <w:rFonts w:ascii="Times New Roman" w:hAnsi="Times New Roman"/>
        </w:rPr>
        <w:t xml:space="preserve"> вопрос, относительно наличия либо отсутствия кворума. В Апелляционном Определении Судом второй инстанции произведена отсылка к нормам, установленными  статьями 181.1 - 181.5 ГК РФ.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Апелляционном Определении Судом второй инстанции произведена отсылка к показаниям свидетелей, допрошенным в Суде первой инстанции. Указание Ответчиком в качестве доводов в кассационной жалобе об отсутствии поименованных свидетелей, н</w:t>
      </w:r>
      <w:r w:rsidR="0081332A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является нарушением норм материального или процессуального права.</w:t>
      </w:r>
    </w:p>
    <w:p w:rsidR="000118DE" w:rsidRDefault="009A39D1" w:rsidP="00B92AC3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Свидетели, указанные в кассационной жалобе, были допрошены Судом первой инстанции, показания их зафиксированы в протоколах судебных заседаний.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Более того, согласно показаниям свидетелей, подсчет голосов проводился уже после даты указанной в протоколе, в течение 7 дней, из чего можно сделать вывод о том, бюллетени поступали от лиц за сроками проведения собрания. </w:t>
      </w:r>
    </w:p>
    <w:p w:rsidR="000118DE" w:rsidRDefault="009A39D1" w:rsidP="00B92AC3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протоколе судебного заседания суда Первой инстанции от 14.08.2023 г. </w:t>
      </w:r>
      <w:r>
        <w:rPr>
          <w:rFonts w:ascii="Times New Roman" w:hAnsi="Times New Roman"/>
          <w:i/>
        </w:rPr>
        <w:t>(</w:t>
      </w:r>
      <w:proofErr w:type="spellStart"/>
      <w:r>
        <w:rPr>
          <w:rFonts w:ascii="Times New Roman" w:hAnsi="Times New Roman"/>
          <w:i/>
        </w:rPr>
        <w:t>л.д</w:t>
      </w:r>
      <w:proofErr w:type="spellEnd"/>
      <w:r>
        <w:rPr>
          <w:rFonts w:ascii="Times New Roman" w:hAnsi="Times New Roman"/>
          <w:i/>
        </w:rPr>
        <w:t>. 18 Том 3)</w:t>
      </w:r>
      <w:r>
        <w:rPr>
          <w:rFonts w:ascii="Times New Roman" w:hAnsi="Times New Roman"/>
        </w:rPr>
        <w:t xml:space="preserve"> представитель Ответчика подтвердил, что Реестры регистрации на собрании и выдачи бюллетеней не велись.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данном случае доводы Ответчика в кассационной жалобе не состоятельны.</w:t>
      </w:r>
    </w:p>
    <w:p w:rsidR="000118DE" w:rsidRDefault="000118DE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Ответчиком в Суд первой инстанции не был представлен реестр членов ТСН, несмотря на неоднократные требования Суда. Реестр членов ТСН был представлен Ответчиком после неоднократных требований Суда второй инстанции, причем было представлено 2 редакции, в одной из редакций изменены порядковые номера и в качестве члена ТСН указана Колчина О.И (председатель ТСН), </w:t>
      </w:r>
      <w:r w:rsidRPr="00B92AC3">
        <w:rPr>
          <w:rFonts w:ascii="Times New Roman" w:hAnsi="Times New Roman"/>
          <w:u w:val="single"/>
        </w:rPr>
        <w:t>которая на момент проведения собрания не являлась собственником и членом ТСН</w:t>
      </w:r>
      <w:r>
        <w:rPr>
          <w:rFonts w:ascii="Times New Roman" w:hAnsi="Times New Roman"/>
        </w:rPr>
        <w:t xml:space="preserve">, что подтверждается ответом на запрос, полученным Судом второй инстанции из </w:t>
      </w:r>
      <w:proofErr w:type="spellStart"/>
      <w:r>
        <w:rPr>
          <w:rFonts w:ascii="Times New Roman" w:hAnsi="Times New Roman"/>
        </w:rPr>
        <w:t>Росреестра</w:t>
      </w:r>
      <w:proofErr w:type="spellEnd"/>
      <w:r>
        <w:rPr>
          <w:rFonts w:ascii="Times New Roman" w:hAnsi="Times New Roman"/>
        </w:rPr>
        <w:t>. В данном ответе содержится информация, подтверждающая отсутствие права собственности на какой-</w:t>
      </w:r>
      <w:r>
        <w:rPr>
          <w:rFonts w:ascii="Times New Roman" w:hAnsi="Times New Roman"/>
        </w:rPr>
        <w:lastRenderedPageBreak/>
        <w:t>либо земельный участок на момент проведения оспариваемого собрания за Колчиной О.И., являющейся председателем ТСН «Акватория».</w:t>
      </w:r>
    </w:p>
    <w:p w:rsidR="000118DE" w:rsidRDefault="000118DE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Суде апелляционной инстанции представитель Ответчика пояснил, что составляет реестр сам, что является прямым нарушением норм действующего законодательства, кроме того представив вновь изготовленный реестр непосредственно с целью ввести суд и участников процесса в заблуждение, представитель Ответчика, по сути совершил фальсификацию доказательств по гражданскому делу.</w:t>
      </w:r>
    </w:p>
    <w:p w:rsidR="000118DE" w:rsidRDefault="000118DE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Судом второй инстанции неоднократно предлагалось представить Ответчику необходимые документы, сведения, доказательства в подтверждение своей позиции, однако Ответчик каждый раз уклонялся от этого, в связи с чем по мнению Истца злоупотреблял своим правом.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Принятие на общем собрании решений о приобретении в собственность земельных участков, которые должны являться дорогами, но их вид не изменен и зарегистрированы они как обычные участки в единоличную собственность ТСН (ответчика), что напрямую затрагивает права и законные интересы Истцов, даже несмотря на предоставление в Суд первой инстанции Протокола №4/2023, которым Ответчик якобы принял решение о выкупе земельных участков.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Протокол №4/2023 не являлся предметом спора, повестка голосования иная.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этом необходимо обратить особое внимание Суда второй инстанции, что земельный участок с кадастровым номером 47:01:1626001:2050 16 декабря 2022 г. (до дат проведения собрания) уже был зарегистрирован переход права собственности, при этом выкуп данного участка был вынесен на голосование постфактум. Кроме того, на земельном участке с кадастровым номером 47:01:1626001:2050 расположено здание с кадастровым номером 47:01:1626001:3640, однако в п. 14 повестки дня не было указано ничего про выкуп здания, что является нарушением, т.к. данные объекты не могут отчуждаться и приобретаться независимо друг от друга.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Выкуп земельного участка с кадастровым номером 47:01:1626001:2050 и расположенного на нем здания с кадастровым номером 47:01:1626001:3640 уже был совершен Ответчиком </w:t>
      </w:r>
      <w:r>
        <w:rPr>
          <w:rFonts w:ascii="Times New Roman" w:hAnsi="Times New Roman"/>
          <w:u w:val="single"/>
        </w:rPr>
        <w:t>до принятия собственниками решения на оспариваемом собрании</w:t>
      </w:r>
      <w:r>
        <w:rPr>
          <w:rFonts w:ascii="Times New Roman" w:hAnsi="Times New Roman"/>
        </w:rPr>
        <w:t xml:space="preserve"> (п. 14 повестки дня), право собственности зарегистрировано в Управлении Федеральной службы государственной регистрации, кадастра и картографии по Ленинградской области 18 октября 2022 г. на </w:t>
      </w:r>
      <w:r>
        <w:rPr>
          <w:rFonts w:ascii="Times New Roman" w:hAnsi="Times New Roman"/>
          <w:u w:val="single"/>
        </w:rPr>
        <w:t xml:space="preserve">юридическое лицо ТСН «Акватория» </w:t>
      </w: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  <w:i/>
        </w:rPr>
        <w:t>л.д</w:t>
      </w:r>
      <w:proofErr w:type="spellEnd"/>
      <w:r>
        <w:rPr>
          <w:rFonts w:ascii="Times New Roman" w:hAnsi="Times New Roman"/>
          <w:i/>
        </w:rPr>
        <w:t>. 43 Том 4)</w:t>
      </w:r>
      <w:r>
        <w:rPr>
          <w:rFonts w:ascii="Times New Roman" w:hAnsi="Times New Roman"/>
        </w:rPr>
        <w:t xml:space="preserve">.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связи с </w:t>
      </w:r>
      <w:proofErr w:type="gramStart"/>
      <w:r>
        <w:rPr>
          <w:rFonts w:ascii="Times New Roman" w:hAnsi="Times New Roman"/>
        </w:rPr>
        <w:t>вышеизложенным</w:t>
      </w:r>
      <w:proofErr w:type="gramEnd"/>
      <w:r>
        <w:rPr>
          <w:rFonts w:ascii="Times New Roman" w:hAnsi="Times New Roman"/>
        </w:rPr>
        <w:t xml:space="preserve"> доводы кассационной жалобы в данной части не состоятельны.</w:t>
      </w:r>
    </w:p>
    <w:p w:rsidR="000118DE" w:rsidRDefault="000118DE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Как уже неоднократно указывалось выше, Судом второй инстанции многократно на протяжении всего рассмотрения дела, 6 судебных заседаний предлагалось Ответчику представить доказательства. Однако Ответчик всячески уклонялся от этого, злоупотреблял своим правом, однако в кассационной жалобе несмотря на уклонение от своих обязанностей указывает, что Судом второй инстанции не распределено бремя доказывания, данные доводы Ответчика противоречат материалам дела.</w:t>
      </w:r>
    </w:p>
    <w:p w:rsidR="000118DE" w:rsidRDefault="000118DE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Кроме того, при получении копии кассационной жалобы к ней были приложены кассационный жалобы следующих лиц: Бондаренко В.А., </w:t>
      </w:r>
      <w:proofErr w:type="spellStart"/>
      <w:r>
        <w:rPr>
          <w:rFonts w:ascii="Times New Roman" w:hAnsi="Times New Roman"/>
        </w:rPr>
        <w:t>Циткина</w:t>
      </w:r>
      <w:proofErr w:type="spellEnd"/>
      <w:r>
        <w:rPr>
          <w:rFonts w:ascii="Times New Roman" w:hAnsi="Times New Roman"/>
        </w:rPr>
        <w:t xml:space="preserve"> Ф.Б., Сафоновой Е.А., </w:t>
      </w:r>
      <w:proofErr w:type="spellStart"/>
      <w:r>
        <w:rPr>
          <w:rFonts w:ascii="Times New Roman" w:hAnsi="Times New Roman"/>
        </w:rPr>
        <w:t>Русаковой</w:t>
      </w:r>
      <w:proofErr w:type="spellEnd"/>
      <w:r>
        <w:rPr>
          <w:rFonts w:ascii="Times New Roman" w:hAnsi="Times New Roman"/>
        </w:rPr>
        <w:t xml:space="preserve"> Е.Г., </w:t>
      </w:r>
      <w:proofErr w:type="spellStart"/>
      <w:r>
        <w:rPr>
          <w:rFonts w:ascii="Times New Roman" w:hAnsi="Times New Roman"/>
        </w:rPr>
        <w:t>Сигачева</w:t>
      </w:r>
      <w:proofErr w:type="spellEnd"/>
      <w:r>
        <w:rPr>
          <w:rFonts w:ascii="Times New Roman" w:hAnsi="Times New Roman"/>
        </w:rPr>
        <w:t xml:space="preserve"> С. Н., Машковой Е.В., Коробова К.К., Михайлова А.С., Иванова С.В., Прядко Г.В., Волковой И.В., Баранова А.А., Бойцовой О.А., Завьяловой С.В., Иванова А.И., </w:t>
      </w:r>
      <w:proofErr w:type="spellStart"/>
      <w:r>
        <w:rPr>
          <w:rFonts w:ascii="Times New Roman" w:hAnsi="Times New Roman"/>
        </w:rPr>
        <w:t>Хункаровой</w:t>
      </w:r>
      <w:proofErr w:type="spellEnd"/>
      <w:r>
        <w:rPr>
          <w:rFonts w:ascii="Times New Roman" w:hAnsi="Times New Roman"/>
        </w:rPr>
        <w:t xml:space="preserve"> Н.П.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Обращаю внимание суда, что от </w:t>
      </w:r>
      <w:proofErr w:type="spellStart"/>
      <w:r>
        <w:rPr>
          <w:rFonts w:ascii="Times New Roman" w:hAnsi="Times New Roman"/>
        </w:rPr>
        <w:t>Циткина</w:t>
      </w:r>
      <w:proofErr w:type="spellEnd"/>
      <w:r>
        <w:rPr>
          <w:rFonts w:ascii="Times New Roman" w:hAnsi="Times New Roman"/>
        </w:rPr>
        <w:t xml:space="preserve"> Ф.Б. заявлен</w:t>
      </w:r>
      <w:r w:rsidR="0081332A">
        <w:rPr>
          <w:rFonts w:ascii="Times New Roman" w:hAnsi="Times New Roman"/>
        </w:rPr>
        <w:t>ы</w:t>
      </w:r>
      <w:r>
        <w:rPr>
          <w:rFonts w:ascii="Times New Roman" w:hAnsi="Times New Roman"/>
        </w:rPr>
        <w:t xml:space="preserve"> 2 жалобы, т.к. он является собственником двух земельных участков в ТСН.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Прядко Г.В. и Волкова И.В. были допрошены в </w:t>
      </w:r>
      <w:r w:rsidR="005D4980">
        <w:rPr>
          <w:rFonts w:ascii="Times New Roman" w:hAnsi="Times New Roman"/>
        </w:rPr>
        <w:t>с</w:t>
      </w:r>
      <w:r>
        <w:rPr>
          <w:rFonts w:ascii="Times New Roman" w:hAnsi="Times New Roman"/>
        </w:rPr>
        <w:t xml:space="preserve">уде первой инстанции в качестве свидетелей, в </w:t>
      </w:r>
      <w:proofErr w:type="gramStart"/>
      <w:r>
        <w:rPr>
          <w:rFonts w:ascii="Times New Roman" w:hAnsi="Times New Roman"/>
        </w:rPr>
        <w:t>связи</w:t>
      </w:r>
      <w:proofErr w:type="gramEnd"/>
      <w:r>
        <w:rPr>
          <w:rFonts w:ascii="Times New Roman" w:hAnsi="Times New Roman"/>
        </w:rPr>
        <w:t xml:space="preserve"> с чем еще в </w:t>
      </w:r>
      <w:r w:rsidR="0081332A">
        <w:rPr>
          <w:rFonts w:ascii="Times New Roman" w:hAnsi="Times New Roman"/>
        </w:rPr>
        <w:t xml:space="preserve">Суде </w:t>
      </w:r>
      <w:r>
        <w:rPr>
          <w:rFonts w:ascii="Times New Roman" w:hAnsi="Times New Roman"/>
        </w:rPr>
        <w:t xml:space="preserve">первой инстанции определен их правовой статус.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Более того, данные лица не могут присоединятся к кассационной жалобе тем более юридического лица в связи с тем, что Истцами при подаче иска в Суд первой инстанции Ответчик был уведомлен о намерении обратиться в суд с соответствующим иском. Также допрошенный в судебном заседании супруг Машковой Е.В. Машков М.В. является администратором созданного ими чата в Телеграмм, из которого Истцы были исключены. В данном чате Колчина О.В. после каждого суда публиковала данные о судебном заседании. Лица, подавшие кассационную жалобу не обладают процессуальным статусом, Истец при подаче иска определяет круг ответчиков. 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Следует обратить внимание, что указанные лица не являются участниками процесса, на стороне Ответчика они не выступали, не изъявили желание участвовать и высказать свою позицию, в суде первой инстанции, суде апелляционной инстанции, </w:t>
      </w:r>
      <w:proofErr w:type="gramStart"/>
      <w:r>
        <w:rPr>
          <w:rFonts w:ascii="Times New Roman" w:hAnsi="Times New Roman"/>
        </w:rPr>
        <w:t>и</w:t>
      </w:r>
      <w:proofErr w:type="gramEnd"/>
      <w:r>
        <w:rPr>
          <w:rFonts w:ascii="Times New Roman" w:hAnsi="Times New Roman"/>
        </w:rPr>
        <w:t xml:space="preserve"> следовательно</w:t>
      </w:r>
      <w:r w:rsidR="0081332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не могут присоединяться к Кассационной жалобе на стороне Ответчика.</w:t>
      </w:r>
    </w:p>
    <w:p w:rsidR="000118DE" w:rsidRDefault="009A39D1">
      <w:pPr>
        <w:spacing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От Иванова С.В. в адрес Павлова А.В., Седовой И.А., Зотовой А.А. поступила также кассационная жалоба, однако идентифицирующие лицо сведения в ней отсутствуют.</w:t>
      </w:r>
    </w:p>
    <w:p w:rsidR="000118DE" w:rsidRDefault="009A39D1" w:rsidP="005D4980">
      <w:pPr>
        <w:spacing w:before="120"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Таким образом, Истцы Павлов А.В., Седова И.А., Зотова А.А. полагают, что </w:t>
      </w:r>
      <w:proofErr w:type="gramStart"/>
      <w:r>
        <w:rPr>
          <w:rFonts w:ascii="Times New Roman" w:hAnsi="Times New Roman"/>
        </w:rPr>
        <w:t>все доводы, приведенные в кассационной жалобе являются</w:t>
      </w:r>
      <w:proofErr w:type="gramEnd"/>
      <w:r>
        <w:rPr>
          <w:rFonts w:ascii="Times New Roman" w:hAnsi="Times New Roman"/>
        </w:rPr>
        <w:t xml:space="preserve"> надуманными и не состоятельными.</w:t>
      </w:r>
    </w:p>
    <w:p w:rsidR="000118DE" w:rsidRDefault="009A39D1">
      <w:pPr>
        <w:spacing w:before="120" w:after="0" w:line="24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Материалы дела подтверждают, что Судом второй инстанции правильно были определены обстоятельства, имеющие значение для рассмотрения дела.</w:t>
      </w:r>
    </w:p>
    <w:p w:rsidR="000118DE" w:rsidRDefault="009A39D1">
      <w:pPr>
        <w:spacing w:before="120" w:after="0" w:line="240" w:lineRule="auto"/>
        <w:ind w:firstLine="567"/>
        <w:jc w:val="both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  <w:shd w:val="clear" w:color="auto" w:fill="FFFFFF"/>
        </w:rPr>
        <w:lastRenderedPageBreak/>
        <w:t>Таким образом, Суд</w:t>
      </w:r>
      <w:r w:rsidR="0081332A">
        <w:rPr>
          <w:rFonts w:ascii="Times New Roman" w:hAnsi="Times New Roman"/>
          <w:shd w:val="clear" w:color="auto" w:fill="FFFFFF"/>
        </w:rPr>
        <w:t>ом</w:t>
      </w:r>
      <w:r>
        <w:rPr>
          <w:rFonts w:ascii="Times New Roman" w:hAnsi="Times New Roman"/>
          <w:shd w:val="clear" w:color="auto" w:fill="FFFFFF"/>
        </w:rPr>
        <w:t xml:space="preserve"> второй инстанции надлежащим образом исследованы все доказательства, </w:t>
      </w:r>
      <w:r>
        <w:rPr>
          <w:rFonts w:ascii="Times New Roman" w:hAnsi="Times New Roman"/>
        </w:rPr>
        <w:t>дана доказательствам надлежащая правовая оценка, в том числе с позиции относимости, допустимости и достоверности доказательств,</w:t>
      </w:r>
      <w:r>
        <w:rPr>
          <w:rFonts w:ascii="Times New Roman" w:hAnsi="Times New Roman"/>
          <w:shd w:val="clear" w:color="auto" w:fill="FFFFFF"/>
        </w:rPr>
        <w:t xml:space="preserve"> что свидетельствует </w:t>
      </w:r>
      <w:proofErr w:type="gramStart"/>
      <w:r>
        <w:rPr>
          <w:rFonts w:ascii="Times New Roman" w:hAnsi="Times New Roman"/>
          <w:shd w:val="clear" w:color="auto" w:fill="FFFFFF"/>
        </w:rPr>
        <w:t>о</w:t>
      </w:r>
      <w:proofErr w:type="gramEnd"/>
      <w:r>
        <w:rPr>
          <w:rFonts w:ascii="Times New Roman" w:hAnsi="Times New Roman"/>
          <w:shd w:val="clear" w:color="auto" w:fill="FFFFFF"/>
        </w:rPr>
        <w:t xml:space="preserve"> исполнении обязанности по полному, объективному и всестороннему рассмотрению дела, результатом чего является вынесение Апелляционного Определения,  отвечающего признакам законности и обоснованности.</w:t>
      </w:r>
    </w:p>
    <w:p w:rsidR="000118DE" w:rsidRDefault="000118DE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0118DE" w:rsidRDefault="009A39D1">
      <w:pPr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ab/>
        <w:t>На основании изложенного и руководствуясь ст. 390 ГПК РФ</w:t>
      </w:r>
    </w:p>
    <w:p w:rsidR="000118DE" w:rsidRDefault="009A39D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ПРОШУ:</w:t>
      </w:r>
    </w:p>
    <w:p w:rsidR="000118DE" w:rsidRDefault="009A39D1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>Оставить Апелляционное определение Ленинградского областного суда</w:t>
      </w:r>
      <w:r w:rsidR="005D4980" w:rsidRPr="005D4980">
        <w:rPr>
          <w:rFonts w:ascii="Times New Roman" w:hAnsi="Times New Roman"/>
        </w:rPr>
        <w:t xml:space="preserve"> </w:t>
      </w:r>
      <w:r w:rsidR="005D4980">
        <w:rPr>
          <w:rFonts w:ascii="Times New Roman" w:hAnsi="Times New Roman"/>
        </w:rPr>
        <w:t>от 04 декабря 2024 года по делу №33-3400/2024</w:t>
      </w:r>
      <w:r>
        <w:rPr>
          <w:rFonts w:ascii="Times New Roman" w:hAnsi="Times New Roman"/>
          <w:color w:val="000000"/>
          <w:shd w:val="clear" w:color="auto" w:fill="FFFFFF"/>
        </w:rPr>
        <w:t xml:space="preserve"> без изменения, кассационную жалобу без удовлетворения;</w:t>
      </w:r>
    </w:p>
    <w:p w:rsidR="000118DE" w:rsidRDefault="000118DE">
      <w:pPr>
        <w:ind w:firstLine="708"/>
        <w:jc w:val="both"/>
        <w:rPr>
          <w:rFonts w:ascii="Times New Roman" w:hAnsi="Times New Roman"/>
        </w:rPr>
      </w:pPr>
    </w:p>
    <w:p w:rsidR="000118DE" w:rsidRDefault="009A39D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Приложение:</w:t>
      </w:r>
    </w:p>
    <w:p w:rsidR="000118DE" w:rsidRDefault="009A39D1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Документы, подтверждающие направление возражений в адрес Ответчика и заинтересованных лиц.</w:t>
      </w:r>
    </w:p>
    <w:p w:rsidR="000118DE" w:rsidRDefault="000118DE">
      <w:pPr>
        <w:jc w:val="both"/>
        <w:rPr>
          <w:rFonts w:ascii="Times New Roman" w:hAnsi="Times New Roman"/>
        </w:rPr>
      </w:pPr>
    </w:p>
    <w:p w:rsidR="000118DE" w:rsidRPr="00855B7B" w:rsidRDefault="009A39D1" w:rsidP="00855B7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«1</w:t>
      </w:r>
      <w:r w:rsidR="0081332A">
        <w:rPr>
          <w:rFonts w:ascii="Times New Roman" w:hAnsi="Times New Roman"/>
        </w:rPr>
        <w:t>9</w:t>
      </w:r>
      <w:r w:rsidR="00855B7B">
        <w:rPr>
          <w:rFonts w:ascii="Times New Roman" w:hAnsi="Times New Roman"/>
        </w:rPr>
        <w:t>» апреля 2025 года</w:t>
      </w:r>
      <w:r w:rsidR="00164196">
        <w:rPr>
          <w:rFonts w:ascii="Times New Roman" w:hAnsi="Times New Roman"/>
        </w:rPr>
        <w:t xml:space="preserve">                                                                                  </w:t>
      </w:r>
      <w:r w:rsidR="00855B7B">
        <w:rPr>
          <w:rFonts w:ascii="Times New Roman" w:hAnsi="Times New Roman"/>
        </w:rPr>
        <w:t xml:space="preserve"> </w:t>
      </w:r>
      <w:r w:rsidR="00855B7B" w:rsidRPr="00855B7B">
        <w:rPr>
          <w:rFonts w:ascii="Times New Roman" w:hAnsi="Times New Roman"/>
          <w:noProof/>
        </w:rPr>
        <w:drawing>
          <wp:inline distT="0" distB="0" distL="0" distR="0" wp14:anchorId="60AA23F0" wp14:editId="5AD473D9">
            <wp:extent cx="1417320" cy="6291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813" cy="6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DE" w:rsidRPr="00855B7B" w:rsidSect="002B6C99">
      <w:footerReference w:type="default" r:id="rId10"/>
      <w:pgSz w:w="11906" w:h="16838" w:code="9"/>
      <w:pgMar w:top="284" w:right="424" w:bottom="709" w:left="567" w:header="426" w:footer="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2C4" w:rsidRDefault="00D442C4">
      <w:pPr>
        <w:spacing w:after="0" w:line="240" w:lineRule="auto"/>
      </w:pPr>
      <w:r>
        <w:separator/>
      </w:r>
    </w:p>
  </w:endnote>
  <w:endnote w:type="continuationSeparator" w:id="0">
    <w:p w:rsidR="00D442C4" w:rsidRDefault="00D4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8DE" w:rsidRDefault="009A39D1">
    <w:pPr>
      <w:pStyle w:val="a9"/>
      <w:jc w:val="right"/>
    </w:pPr>
    <w:r>
      <w:rPr>
        <w:rFonts w:ascii="Times New Roman" w:hAnsi="Times New Roman"/>
        <w:sz w:val="18"/>
      </w:rPr>
      <w:fldChar w:fldCharType="begin"/>
    </w:r>
    <w:r>
      <w:rPr>
        <w:rFonts w:ascii="Times New Roman" w:hAnsi="Times New Roman"/>
        <w:sz w:val="18"/>
      </w:rPr>
      <w:instrText>PAGE   \* MERGEFORMAT</w:instrText>
    </w:r>
    <w:r>
      <w:rPr>
        <w:rFonts w:ascii="Times New Roman" w:hAnsi="Times New Roman"/>
        <w:sz w:val="18"/>
      </w:rPr>
      <w:fldChar w:fldCharType="separate"/>
    </w:r>
    <w:r w:rsidR="00274268">
      <w:rPr>
        <w:rFonts w:ascii="Times New Roman" w:hAnsi="Times New Roman"/>
        <w:noProof/>
        <w:sz w:val="18"/>
      </w:rPr>
      <w:t>1</w:t>
    </w:r>
    <w:r>
      <w:rPr>
        <w:rFonts w:ascii="Times New Roman" w:hAnsi="Times New Roman"/>
        <w:sz w:val="18"/>
      </w:rPr>
      <w:fldChar w:fldCharType="end"/>
    </w:r>
  </w:p>
  <w:p w:rsidR="000118DE" w:rsidRDefault="000118D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2C4" w:rsidRDefault="00D442C4">
      <w:pPr>
        <w:spacing w:after="0" w:line="240" w:lineRule="auto"/>
      </w:pPr>
      <w:r>
        <w:separator/>
      </w:r>
    </w:p>
  </w:footnote>
  <w:footnote w:type="continuationSeparator" w:id="0">
    <w:p w:rsidR="00D442C4" w:rsidRDefault="00D44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0436C"/>
    <w:multiLevelType w:val="hybridMultilevel"/>
    <w:tmpl w:val="3D320156"/>
    <w:lvl w:ilvl="0" w:tplc="0310C6C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3FC144A"/>
    <w:multiLevelType w:val="hybridMultilevel"/>
    <w:tmpl w:val="AFAE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56EB8"/>
    <w:multiLevelType w:val="multilevel"/>
    <w:tmpl w:val="ED208650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927" w:hanging="36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3">
    <w:nsid w:val="43F01FA7"/>
    <w:multiLevelType w:val="hybridMultilevel"/>
    <w:tmpl w:val="4B126E84"/>
    <w:lvl w:ilvl="0" w:tplc="619E5076">
      <w:start w:val="1"/>
      <w:numFmt w:val="decimal"/>
      <w:lvlText w:val="%1)"/>
      <w:lvlJc w:val="left"/>
      <w:pPr>
        <w:ind w:left="4613" w:hanging="360"/>
      </w:pPr>
    </w:lvl>
    <w:lvl w:ilvl="1" w:tplc="04190019">
      <w:start w:val="1"/>
      <w:numFmt w:val="lowerLetter"/>
      <w:lvlText w:val="%2."/>
      <w:lvlJc w:val="left"/>
      <w:pPr>
        <w:ind w:left="5333" w:hanging="360"/>
      </w:pPr>
    </w:lvl>
    <w:lvl w:ilvl="2" w:tplc="0419001B">
      <w:start w:val="1"/>
      <w:numFmt w:val="lowerRoman"/>
      <w:lvlText w:val="%3."/>
      <w:lvlJc w:val="right"/>
      <w:pPr>
        <w:ind w:left="6053" w:hanging="180"/>
      </w:pPr>
    </w:lvl>
    <w:lvl w:ilvl="3" w:tplc="0419000F">
      <w:start w:val="1"/>
      <w:numFmt w:val="decimal"/>
      <w:lvlText w:val="%4."/>
      <w:lvlJc w:val="left"/>
      <w:pPr>
        <w:ind w:left="6773" w:hanging="360"/>
      </w:pPr>
    </w:lvl>
    <w:lvl w:ilvl="4" w:tplc="04190019">
      <w:start w:val="1"/>
      <w:numFmt w:val="lowerLetter"/>
      <w:lvlText w:val="%5."/>
      <w:lvlJc w:val="left"/>
      <w:pPr>
        <w:ind w:left="7493" w:hanging="360"/>
      </w:pPr>
    </w:lvl>
    <w:lvl w:ilvl="5" w:tplc="0419001B">
      <w:start w:val="1"/>
      <w:numFmt w:val="lowerRoman"/>
      <w:lvlText w:val="%6."/>
      <w:lvlJc w:val="right"/>
      <w:pPr>
        <w:ind w:left="8213" w:hanging="180"/>
      </w:pPr>
    </w:lvl>
    <w:lvl w:ilvl="6" w:tplc="0419000F">
      <w:start w:val="1"/>
      <w:numFmt w:val="decimal"/>
      <w:lvlText w:val="%7."/>
      <w:lvlJc w:val="left"/>
      <w:pPr>
        <w:ind w:left="8933" w:hanging="360"/>
      </w:pPr>
    </w:lvl>
    <w:lvl w:ilvl="7" w:tplc="04190019">
      <w:start w:val="1"/>
      <w:numFmt w:val="lowerLetter"/>
      <w:lvlText w:val="%8."/>
      <w:lvlJc w:val="left"/>
      <w:pPr>
        <w:ind w:left="9653" w:hanging="360"/>
      </w:pPr>
    </w:lvl>
    <w:lvl w:ilvl="8" w:tplc="0419001B">
      <w:start w:val="1"/>
      <w:numFmt w:val="lowerRoman"/>
      <w:lvlText w:val="%9."/>
      <w:lvlJc w:val="right"/>
      <w:pPr>
        <w:ind w:left="10373" w:hanging="180"/>
      </w:pPr>
    </w:lvl>
  </w:abstractNum>
  <w:abstractNum w:abstractNumId="4">
    <w:nsid w:val="5A00690A"/>
    <w:multiLevelType w:val="hybridMultilevel"/>
    <w:tmpl w:val="B5867344"/>
    <w:lvl w:ilvl="0" w:tplc="E7B24F9C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AE5EF8"/>
    <w:multiLevelType w:val="hybridMultilevel"/>
    <w:tmpl w:val="EE6C62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8DE"/>
    <w:rsid w:val="000118DE"/>
    <w:rsid w:val="0009075D"/>
    <w:rsid w:val="00164196"/>
    <w:rsid w:val="001F7460"/>
    <w:rsid w:val="00274268"/>
    <w:rsid w:val="002B6C99"/>
    <w:rsid w:val="00493A92"/>
    <w:rsid w:val="00536E2B"/>
    <w:rsid w:val="005D4980"/>
    <w:rsid w:val="006E7522"/>
    <w:rsid w:val="0081332A"/>
    <w:rsid w:val="00855B7B"/>
    <w:rsid w:val="009A39D1"/>
    <w:rsid w:val="00B92AC3"/>
    <w:rsid w:val="00D4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link w:val="a5"/>
    <w:semiHidden/>
    <w:pPr>
      <w:spacing w:after="0" w:line="240" w:lineRule="auto"/>
    </w:pPr>
    <w:rPr>
      <w:rFonts w:ascii="Segoe UI" w:hAnsi="Segoe UI"/>
      <w:sz w:val="18"/>
    </w:rPr>
  </w:style>
  <w:style w:type="paragraph" w:customStyle="1" w:styleId="s1">
    <w:name w:val="s_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6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1">
    <w:name w:val="Обычный1"/>
    <w:pPr>
      <w:spacing w:after="0" w:line="276" w:lineRule="auto"/>
    </w:pPr>
    <w:rPr>
      <w:rFonts w:ascii="Arial" w:hAnsi="Arial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character" w:styleId="ab">
    <w:name w:val="line number"/>
    <w:basedOn w:val="a0"/>
    <w:semiHidden/>
  </w:style>
  <w:style w:type="character" w:styleId="ac">
    <w:name w:val="Hyperlink"/>
    <w:basedOn w:val="a0"/>
    <w:rPr>
      <w:color w:val="0563C1"/>
      <w:u w:val="single"/>
    </w:rPr>
  </w:style>
  <w:style w:type="character" w:customStyle="1" w:styleId="a5">
    <w:name w:val="Текст выноски Знак"/>
    <w:basedOn w:val="a0"/>
    <w:link w:val="a4"/>
    <w:semiHidden/>
    <w:rPr>
      <w:rFonts w:ascii="Segoe UI" w:hAnsi="Segoe UI"/>
      <w:sz w:val="18"/>
    </w:rPr>
  </w:style>
  <w:style w:type="character" w:customStyle="1" w:styleId="a8">
    <w:name w:val="Верхний колонтитул Знак"/>
    <w:basedOn w:val="a0"/>
    <w:link w:val="a7"/>
  </w:style>
  <w:style w:type="character" w:customStyle="1" w:styleId="aa">
    <w:name w:val="Нижний колонтитул Знак"/>
    <w:basedOn w:val="a0"/>
    <w:link w:val="a9"/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Balloon Text"/>
    <w:basedOn w:val="a"/>
    <w:link w:val="a5"/>
    <w:semiHidden/>
    <w:pPr>
      <w:spacing w:after="0" w:line="240" w:lineRule="auto"/>
    </w:pPr>
    <w:rPr>
      <w:rFonts w:ascii="Segoe UI" w:hAnsi="Segoe UI"/>
      <w:sz w:val="18"/>
    </w:rPr>
  </w:style>
  <w:style w:type="paragraph" w:customStyle="1" w:styleId="s1">
    <w:name w:val="s_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a6">
    <w:name w:val="Normal (Web)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1">
    <w:name w:val="Обычный1"/>
    <w:pPr>
      <w:spacing w:after="0" w:line="276" w:lineRule="auto"/>
    </w:pPr>
    <w:rPr>
      <w:rFonts w:ascii="Arial" w:hAnsi="Arial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pPr>
      <w:tabs>
        <w:tab w:val="center" w:pos="4677"/>
        <w:tab w:val="right" w:pos="9355"/>
      </w:tabs>
      <w:spacing w:after="0" w:line="240" w:lineRule="auto"/>
    </w:pPr>
  </w:style>
  <w:style w:type="character" w:styleId="ab">
    <w:name w:val="line number"/>
    <w:basedOn w:val="a0"/>
    <w:semiHidden/>
  </w:style>
  <w:style w:type="character" w:styleId="ac">
    <w:name w:val="Hyperlink"/>
    <w:basedOn w:val="a0"/>
    <w:rPr>
      <w:color w:val="0563C1"/>
      <w:u w:val="single"/>
    </w:rPr>
  </w:style>
  <w:style w:type="character" w:customStyle="1" w:styleId="a5">
    <w:name w:val="Текст выноски Знак"/>
    <w:basedOn w:val="a0"/>
    <w:link w:val="a4"/>
    <w:semiHidden/>
    <w:rPr>
      <w:rFonts w:ascii="Segoe UI" w:hAnsi="Segoe UI"/>
      <w:sz w:val="18"/>
    </w:rPr>
  </w:style>
  <w:style w:type="character" w:customStyle="1" w:styleId="a8">
    <w:name w:val="Верхний колонтитул Знак"/>
    <w:basedOn w:val="a0"/>
    <w:link w:val="a7"/>
  </w:style>
  <w:style w:type="character" w:customStyle="1" w:styleId="aa">
    <w:name w:val="Нижний колонтитул Знак"/>
    <w:basedOn w:val="a0"/>
    <w:link w:val="a9"/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DF4BA-EF1F-4BB7-B542-E775ED863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SVZotov</dc:creator>
  <cp:lastModifiedBy>IrinaS</cp:lastModifiedBy>
  <cp:revision>2</cp:revision>
  <dcterms:created xsi:type="dcterms:W3CDTF">2025-04-22T15:45:00Z</dcterms:created>
  <dcterms:modified xsi:type="dcterms:W3CDTF">2025-04-22T15:45:00Z</dcterms:modified>
</cp:coreProperties>
</file>