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2F5597"/>
          <w:sz w:val="36"/>
        </w:rPr>
        <w:t>销售简报（2026 年 10 月 · 虚构数据）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06060"/>
          <w:sz w:val="18"/>
        </w:rPr>
        <w:t>统计口径：本期产品 A / B / C 销售汇总　单位：元　数据来源：虚构演示数据</w:t>
      </w:r>
    </w:p>
    <w:p>
      <w:pPr>
        <w:spacing w:after="80"/>
      </w:pPr>
      <w:r>
        <w:rPr>
          <w:rFonts w:ascii="微软雅黑" w:hAnsi="微软雅黑" w:eastAsia="微软雅黑"/>
          <w:b/>
          <w:sz w:val="25"/>
        </w:rPr>
        <w:t>一、总体情况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本期共销售 45 件产品，实现总收入 2,020.00 元。其中产品 B 收入最高（720.00 元），产品 A 销量最大（20 件），产品 C 单价最高（60.00 元）但销量最低（10 件）。</w:t>
      </w:r>
    </w:p>
    <w:p>
      <w:pPr>
        <w:spacing w:after="80"/>
      </w:pPr>
      <w:r>
        <w:rPr>
          <w:rFonts w:ascii="微软雅黑" w:hAnsi="微软雅黑" w:eastAsia="微软雅黑"/>
          <w:b/>
          <w:sz w:val="25"/>
        </w:rPr>
        <w:t>二、明细数据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产品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销量（件）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单价（元）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收入（元）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收入占比</w:t>
            </w:r>
          </w:p>
        </w:tc>
      </w:tr>
      <w:tr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35.00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700.00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34.7%</w:t>
            </w:r>
          </w:p>
        </w:tc>
      </w:tr>
      <w:tr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48.00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720.00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35.6%</w:t>
            </w:r>
          </w:p>
        </w:tc>
      </w:tr>
      <w:tr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C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60.00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600.00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29.7%</w:t>
            </w:r>
          </w:p>
        </w:tc>
      </w:tr>
      <w:tr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总计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45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—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2,020.00</w:t>
            </w:r>
          </w:p>
        </w:tc>
        <w:tc>
          <w:tcPr>
            <w:tcW w:type="dxa" w:w="19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100.0%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/>
      </w:pPr>
      <w:r>
        <w:rPr>
          <w:rFonts w:ascii="微软雅黑" w:hAnsi="微软雅黑" w:eastAsia="微软雅黑"/>
          <w:b/>
          <w:sz w:val="25"/>
        </w:rPr>
        <w:t>三、要点分析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收入结构均衡：三款产品收入分别为 700 / 720 / 600 元，占比 34.7% / 35.6% / 29.7%，未出现单一产品依赖。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量价错位明显：产品 A 走量、产品 C 走价，产品 B 在销量与单价之间取得平衡，贡献收入最高。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提升空间：产品 C 单价优势明显但销量偏弱，若销量翻倍可再增约 600 元收入；产品 A 可通过小幅提价改善毛利。</w:t>
      </w:r>
    </w:p>
    <w:p>
      <w:pPr>
        <w:spacing w:after="80"/>
      </w:pPr>
      <w:r>
        <w:rPr>
          <w:rFonts w:ascii="微软雅黑" w:hAnsi="微软雅黑" w:eastAsia="微软雅黑"/>
          <w:b/>
          <w:sz w:val="25"/>
        </w:rPr>
        <w:t>四、结论与建议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本期总收入 2,020.00 元，达成预期。建议下期重点提升产品 C 的销量转化率，同时维持产品 B 的现有组合优势，并对产品 A 进行小幅价格测试。</w:t>
      </w:r>
    </w:p>
    <w:p>
      <w:pPr>
        <w:spacing w:after="0"/>
      </w:pPr>
      <w:r>
        <w:rPr>
          <w:rFonts w:ascii="微软雅黑" w:hAnsi="微软雅黑" w:eastAsia="微软雅黑"/>
          <w:b w:val="0"/>
          <w:color w:val="808080"/>
          <w:sz w:val="17"/>
        </w:rPr>
        <w:t>注：本文档数据为虚构演示数据，仅用于功能验证。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