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PLAN MAESTRO DE PRUEBAS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Sistema de Gestión de inventario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Documento: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MTP-QA-001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Estándar de Referencia: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ISO/IEC/IEEE 29119-3 &amp; OWASP Top 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 / Equipo: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SoftQuality Solutions S.A.S. / ADSO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Agosto de 2026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1. INTRODUCCIÓN Y PROPÓSITO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El presente Plan Maestro de Pruebas (Master Test Plan) define la estrategia, los recursos, el alcance y las actividades de verificación y validación de software para la plataforma de gestión de inventario, ventas y tienda virtual. El propósito fundamental es garantizar la entrega de un producto robusto, seguro, mantenible y funcional, mitigar riesgos en producción y cumplir con las métricas de calidad según los estándares ISO/IEC 25010 e ISO/IEC/IEEE 29119.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2. ALCANCE DE LAS PRUEBAS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Elementos Dentro del Alcance (In-Scope)</w:t>
      </w:r>
    </w:p>
    <w:p w:rsidR="00000000" w:rsidDel="00000000" w:rsidP="00000000" w:rsidRDefault="00000000" w:rsidRPr="00000000" w14:paraId="0000000E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nxb65peql1ri" w:id="0"/>
      <w:bookmarkEnd w:id="0"/>
      <w:r w:rsidDel="00000000" w:rsidR="00000000" w:rsidRPr="00000000">
        <w:rPr>
          <w:color w:val="111111"/>
          <w:sz w:val="26"/>
          <w:szCs w:val="26"/>
          <w:rtl w:val="0"/>
        </w:rPr>
        <w:t xml:space="preserve">1. Módulo de Autenticación y Gestión de Usuarios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RF001</w:t>
      </w:r>
      <w:r w:rsidDel="00000000" w:rsidR="00000000" w:rsidRPr="00000000">
        <w:rPr>
          <w:rtl w:val="0"/>
        </w:rPr>
        <w:t xml:space="preserve"> – Iniciar sesión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RF002</w:t>
      </w:r>
      <w:r w:rsidDel="00000000" w:rsidR="00000000" w:rsidRPr="00000000">
        <w:rPr>
          <w:rtl w:val="0"/>
        </w:rPr>
        <w:t xml:space="preserve"> – Registrar usuario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RF003</w:t>
      </w:r>
      <w:r w:rsidDel="00000000" w:rsidR="00000000" w:rsidRPr="00000000">
        <w:rPr>
          <w:rtl w:val="0"/>
        </w:rPr>
        <w:t xml:space="preserve"> – Recuperar contraseña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RF004</w:t>
      </w:r>
      <w:r w:rsidDel="00000000" w:rsidR="00000000" w:rsidRPr="00000000">
        <w:rPr>
          <w:rtl w:val="0"/>
        </w:rPr>
        <w:t xml:space="preserve"> – Cerrar sesión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RF005</w:t>
      </w:r>
      <w:r w:rsidDel="00000000" w:rsidR="00000000" w:rsidRPr="00000000">
        <w:rPr>
          <w:rtl w:val="0"/>
        </w:rPr>
        <w:t xml:space="preserve"> – Modificar datos personales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RF019</w:t>
      </w:r>
      <w:r w:rsidDel="00000000" w:rsidR="00000000" w:rsidRPr="00000000">
        <w:rPr>
          <w:rtl w:val="0"/>
        </w:rPr>
        <w:t xml:space="preserve"> – Consultar lista de usuarios internos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RF020</w:t>
      </w:r>
      <w:r w:rsidDel="00000000" w:rsidR="00000000" w:rsidRPr="00000000">
        <w:rPr>
          <w:rtl w:val="0"/>
        </w:rPr>
        <w:t xml:space="preserve"> – Registrar nuevo usuario interno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RF021</w:t>
      </w:r>
      <w:r w:rsidDel="00000000" w:rsidR="00000000" w:rsidRPr="00000000">
        <w:rPr>
          <w:rtl w:val="0"/>
        </w:rPr>
        <w:t xml:space="preserve"> – Eliminar (baja lógica) usuario interno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RF022</w:t>
      </w:r>
      <w:r w:rsidDel="00000000" w:rsidR="00000000" w:rsidRPr="00000000">
        <w:rPr>
          <w:rtl w:val="0"/>
        </w:rPr>
        <w:t xml:space="preserve"> – Modificar datos de usuario interno</w:t>
      </w:r>
    </w:p>
    <w:p w:rsidR="00000000" w:rsidDel="00000000" w:rsidP="00000000" w:rsidRDefault="00000000" w:rsidRPr="00000000" w14:paraId="00000018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edofxt4g4j6j" w:id="1"/>
      <w:bookmarkEnd w:id="1"/>
      <w:r w:rsidDel="00000000" w:rsidR="00000000" w:rsidRPr="00000000">
        <w:rPr>
          <w:color w:val="111111"/>
          <w:sz w:val="26"/>
          <w:szCs w:val="26"/>
          <w:rtl w:val="0"/>
        </w:rPr>
        <w:t xml:space="preserve">2. Módulo de Gestión de Inventario y Productos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RF007</w:t>
      </w:r>
      <w:r w:rsidDel="00000000" w:rsidR="00000000" w:rsidRPr="00000000">
        <w:rPr>
          <w:rtl w:val="0"/>
        </w:rPr>
        <w:t xml:space="preserve"> – Ver catálogo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RF008</w:t>
      </w:r>
      <w:r w:rsidDel="00000000" w:rsidR="00000000" w:rsidRPr="00000000">
        <w:rPr>
          <w:rtl w:val="0"/>
        </w:rPr>
        <w:t xml:space="preserve"> – Buscar prenda específica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RF009</w:t>
      </w:r>
      <w:r w:rsidDel="00000000" w:rsidR="00000000" w:rsidRPr="00000000">
        <w:rPr>
          <w:rtl w:val="0"/>
        </w:rPr>
        <w:t xml:space="preserve"> – Ver detalle del producto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RF010</w:t>
      </w:r>
      <w:r w:rsidDel="00000000" w:rsidR="00000000" w:rsidRPr="00000000">
        <w:rPr>
          <w:rtl w:val="0"/>
        </w:rPr>
        <w:t xml:space="preserve"> – Filtrar productos del catálogo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RF015</w:t>
      </w:r>
      <w:r w:rsidDel="00000000" w:rsidR="00000000" w:rsidRPr="00000000">
        <w:rPr>
          <w:rtl w:val="0"/>
        </w:rPr>
        <w:t xml:space="preserve"> – Consultar productos en inventario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RF016</w:t>
      </w:r>
      <w:r w:rsidDel="00000000" w:rsidR="00000000" w:rsidRPr="00000000">
        <w:rPr>
          <w:rtl w:val="0"/>
        </w:rPr>
        <w:t xml:space="preserve"> – Registrar nuevos productos en el inventario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RF017</w:t>
      </w:r>
      <w:r w:rsidDel="00000000" w:rsidR="00000000" w:rsidRPr="00000000">
        <w:rPr>
          <w:rtl w:val="0"/>
        </w:rPr>
        <w:t xml:space="preserve"> – Modificar datos de productos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RF018</w:t>
      </w:r>
      <w:r w:rsidDel="00000000" w:rsidR="00000000" w:rsidRPr="00000000">
        <w:rPr>
          <w:rtl w:val="0"/>
        </w:rPr>
        <w:t xml:space="preserve"> – Eliminar productos del inventario</w:t>
      </w:r>
    </w:p>
    <w:p w:rsidR="00000000" w:rsidDel="00000000" w:rsidP="00000000" w:rsidRDefault="00000000" w:rsidRPr="00000000" w14:paraId="00000021">
      <w:pPr>
        <w:pStyle w:val="Heading3"/>
        <w:spacing w:after="80" w:before="0" w:line="276" w:lineRule="auto"/>
        <w:rPr>
          <w:color w:val="111111"/>
          <w:sz w:val="26"/>
          <w:szCs w:val="26"/>
        </w:rPr>
      </w:pPr>
      <w:bookmarkStart w:colFirst="0" w:colLast="0" w:name="_1cz6jt96jire" w:id="2"/>
      <w:bookmarkEnd w:id="2"/>
      <w:r w:rsidDel="00000000" w:rsidR="00000000" w:rsidRPr="00000000">
        <w:rPr>
          <w:color w:val="111111"/>
          <w:sz w:val="26"/>
          <w:szCs w:val="26"/>
          <w:rtl w:val="0"/>
        </w:rPr>
        <w:t xml:space="preserve">3. Módulo de Pedidos, Carrito y Ventas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RF006</w:t>
      </w:r>
      <w:r w:rsidDel="00000000" w:rsidR="00000000" w:rsidRPr="00000000">
        <w:rPr>
          <w:rtl w:val="0"/>
        </w:rPr>
        <w:t xml:space="preserve"> – Ver carrito de compras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RF011</w:t>
      </w:r>
      <w:r w:rsidDel="00000000" w:rsidR="00000000" w:rsidRPr="00000000">
        <w:rPr>
          <w:rtl w:val="0"/>
        </w:rPr>
        <w:t xml:space="preserve"> – Agregar productos al carrito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RF012</w:t>
      </w:r>
      <w:r w:rsidDel="00000000" w:rsidR="00000000" w:rsidRPr="00000000">
        <w:rPr>
          <w:rtl w:val="0"/>
        </w:rPr>
        <w:t xml:space="preserve"> – Eliminar productos del carrito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RF013</w:t>
      </w:r>
      <w:r w:rsidDel="00000000" w:rsidR="00000000" w:rsidRPr="00000000">
        <w:rPr>
          <w:rtl w:val="0"/>
        </w:rPr>
        <w:t xml:space="preserve"> – Finalizar compra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RF014</w:t>
      </w:r>
      <w:r w:rsidDel="00000000" w:rsidR="00000000" w:rsidRPr="00000000">
        <w:rPr>
          <w:rtl w:val="0"/>
        </w:rPr>
        <w:t xml:space="preserve"> – Consultar historial de pedidos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RF023</w:t>
      </w:r>
      <w:r w:rsidDel="00000000" w:rsidR="00000000" w:rsidRPr="00000000">
        <w:rPr>
          <w:rtl w:val="0"/>
        </w:rPr>
        <w:t xml:space="preserve"> – Consultar historial de ventas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Elementos Fuera del Alcance (Out-of-Scope)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Pruebas de rendimiento masivo o estrés de infraestructura por encima de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z w:val="22"/>
          <w:szCs w:val="22"/>
          <w:rtl w:val="0"/>
        </w:rPr>
        <w:t xml:space="preserve">,000 usuarios concurrentes.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Integración directa con pasarelas de pago reales en entorno de producción (se utilizarán entornos Sandbox).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Compatibilidad con sistemas operativos móviles descatalogados (Android versiones </w:t>
      </w:r>
      <w:r w:rsidDel="00000000" w:rsidR="00000000" w:rsidRPr="00000000">
        <w:rPr>
          <w:rtl w:val="0"/>
        </w:rPr>
        <w:t xml:space="preserve">superiores</w:t>
      </w:r>
      <w:r w:rsidDel="00000000" w:rsidR="00000000" w:rsidRPr="00000000">
        <w:rPr>
          <w:sz w:val="22"/>
          <w:szCs w:val="22"/>
          <w:rtl w:val="0"/>
        </w:rPr>
        <w:t xml:space="preserve"> a 8.0).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3. ESTRATEGIA Y NIVELES DE PRUEBA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La estrategia de pruebas abarca diferentes niveles del ciclo de vida del desarrollo de software: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Nivel de Prueba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Enfoque / Tipo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Herramientas y Técnicas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Criterio de Cobertura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Unitarias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Estructural / Caja Blanca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Jest / JUnit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 80% de cobertura en lógica de negocio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Integración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 / Caja Negra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Supertest, Postman / Bruno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endpoints API REST verificados con códigos HTTP correctos.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Sistema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(E2E)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Cypress / Playwright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completa de flujos de usuario clave (registro, compra, actualización).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Seguridad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Funcional / Auditoría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ZAP, ESLint Security Rules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Ausencia de vulnerabilidades críticas o altas reportadas.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API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Funcional/CRUD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la API al 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Usabilidad / Móvil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y Experiencia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Studio Emulator, Inspección manual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guías de diseño y respuesta correcta ante cambios de pantalla.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4. ESTÁNDARES Y CRITERIOS DE EVALUACIÓN (ISO/IEC 25010)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Se tomarán como referencia las características de calidad estipuladas por la norma ISO/IEC 25010: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Adecuación Funcional:</w:t>
      </w:r>
      <w:r w:rsidDel="00000000" w:rsidR="00000000" w:rsidRPr="00000000">
        <w:rPr>
          <w:sz w:val="22"/>
          <w:szCs w:val="22"/>
          <w:rtl w:val="0"/>
        </w:rPr>
        <w:t xml:space="preserve"> Capacidad del sistema para ejecutar las tareas solicitadas sin errores en la lógica de inventario o facturación.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Fiabilidad:</w:t>
      </w:r>
      <w:r w:rsidDel="00000000" w:rsidR="00000000" w:rsidRPr="00000000">
        <w:rPr>
          <w:sz w:val="22"/>
          <w:szCs w:val="22"/>
          <w:rtl w:val="0"/>
        </w:rPr>
        <w:t xml:space="preserve"> Tolerancia a fallos, manejo correcto de excepciones y recuperación adecuada de conexiones a la base de datos.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Usabilidad:</w:t>
      </w:r>
      <w:r w:rsidDel="00000000" w:rsidR="00000000" w:rsidRPr="00000000">
        <w:rPr>
          <w:sz w:val="22"/>
          <w:szCs w:val="22"/>
          <w:rtl w:val="0"/>
        </w:rPr>
        <w:t xml:space="preserve"> Facilidad de aprendizaje, diseño intuitivo de interfaces y claridad en la presentación de errores al usuario.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Seguridad:</w:t>
      </w:r>
      <w:r w:rsidDel="00000000" w:rsidR="00000000" w:rsidRPr="00000000">
        <w:rPr>
          <w:sz w:val="22"/>
          <w:szCs w:val="22"/>
          <w:rtl w:val="0"/>
        </w:rPr>
        <w:t xml:space="preserve"> Autenticación robusta, encriptación de datos sensibles y protección contra accesos no autorizados.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Mantenibilidad:</w:t>
      </w:r>
      <w:r w:rsidDel="00000000" w:rsidR="00000000" w:rsidRPr="00000000">
        <w:rPr>
          <w:sz w:val="22"/>
          <w:szCs w:val="22"/>
          <w:rtl w:val="0"/>
        </w:rPr>
        <w:t xml:space="preserve"> Código estructurado, modularizado y documentado bajo patrones de arquitectura limpios.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5. ROLES Y RESPONSABILIDADES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Rol QA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Responsabilidades Principales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Persona a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 Lead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aprobación del Master Test Plan, coordinación de ejecución, comunicación con interesados y aprobación de lanzamientos.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Mauricio Rojas Rivera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 Analyst / Documentador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requerimientos, diseño de casos de prueba, matrices de trazabilidad y documentación de incidencias.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Santiago Medina Neusa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Tester Manual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escenarios de prueba, exploración de interfaz móvil y web, y reporte detallado de defectos.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Karen Dayana Rodriguez Rodriguez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Tester Automatizador / DevOps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scripts de prueba automatizados, configuración de pruebas en pipeline CI/CD y análisis de cobertura.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Mauricio Rojas Rivera 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6. MATRIZ DE RIESGOS Y MITIGACIÓN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Riesgo Identificado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Probabilidad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Estrategia de Mitigación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Retrasos en la entrega de endpoints del Backend.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mocks y servidores de simulación (Mockoon / Postman Mocks) para no detener las pruebas de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Vulnerabilidades de inyección SQL o falla en JWT.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validación estricta de inputs mediante ORM/queries preparadas y pruebas de seguridad tempranas.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Incompatibilidad de la UI móvil en distintas resoluciones.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layout en emuladores con múltiples densidades de pantalla utilizando Jetpack Compose Preview.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de pruebas desalineado con la base de datos.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scripts de migración automáticos y semillas de datos (seeds) estandarizadas para el entorno de test.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7. CRITERIOS DE ENTRADA, SUSPENSIÓN Y SALIDA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7.1 Criterios de Entrada (Entry Criteria)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Arquitectura base y repositorio sincronizado en GitHub.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Casos de prueba documentados y aprobados por el QA Lead.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Ambiente de pruebas (Test Environment) desplegado y funcional con base de datos de pruebas configurada.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Criterios de Suspensión y Reanudación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Suspensión:</w:t>
      </w:r>
      <w:r w:rsidDel="00000000" w:rsidR="00000000" w:rsidRPr="00000000">
        <w:rPr>
          <w:sz w:val="22"/>
          <w:szCs w:val="22"/>
          <w:rtl w:val="0"/>
        </w:rPr>
        <w:t xml:space="preserve"> Se suspenderán las pruebas si un defecto bloqueante (Blocking Bug) impide el acceso al 50% de los flujos o si el ambiente no responde.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Reanudación:</w:t>
      </w:r>
      <w:r w:rsidDel="00000000" w:rsidR="00000000" w:rsidRPr="00000000">
        <w:rPr>
          <w:sz w:val="22"/>
          <w:szCs w:val="22"/>
          <w:rtl w:val="0"/>
        </w:rPr>
        <w:t xml:space="preserve"> Las pruebas se reanudarán una vez que el equipo de desarrollo entregue un parche con la solución verificada en el repositorio.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Criterios de Salida (Exit Criteria)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100% </w:t>
      </w:r>
      <w:r w:rsidDel="00000000" w:rsidR="00000000" w:rsidRPr="00000000">
        <w:rPr>
          <w:rtl w:val="0"/>
        </w:rPr>
        <w:t xml:space="preserve">de los requisitos funcionales con prioridad alta con estado "Exitoso" (Passed).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lineRule="auto"/>
        <w:ind w:left="400" w:hanging="360"/>
      </w:pPr>
      <w:r w:rsidDel="00000000" w:rsidR="00000000" w:rsidRPr="00000000">
        <w:rPr>
          <w:rtl w:val="0"/>
        </w:rPr>
        <w:t xml:space="preserve">75% de los requisitos funcionales con prioridad media con estado "Exitoso" (Passed).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Rule="auto"/>
        <w:ind w:left="400" w:hanging="360"/>
      </w:pPr>
      <w:r w:rsidDel="00000000" w:rsidR="00000000" w:rsidRPr="00000000">
        <w:rPr>
          <w:rtl w:val="0"/>
        </w:rPr>
        <w:t xml:space="preserve">Un caso de prueba por requisito funcional con prioridad baja, con estado "Exitoso" (Passed).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Mínimo 90% de los casos de prueba con estado "Exitoso" (Passed).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0 defectos de severidad Crítica o Alta abiertos.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sz w:val="22"/>
          <w:szCs w:val="22"/>
          <w:rtl w:val="0"/>
        </w:rPr>
        <w:t xml:space="preserve">Informe de Cierre de Pruebas emitido y firmado por el equipo QA.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8. HERRAMIENTAS UTILIZADAS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y Control de Versiones:</w:t>
      </w:r>
      <w:r w:rsidDel="00000000" w:rsidR="00000000" w:rsidRPr="00000000">
        <w:rPr>
          <w:sz w:val="22"/>
          <w:szCs w:val="22"/>
          <w:rtl w:val="0"/>
        </w:rPr>
        <w:t xml:space="preserve"> Git, GitHub.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Entorno de Desarrollo y Ejecución:</w:t>
      </w:r>
      <w:r w:rsidDel="00000000" w:rsidR="00000000" w:rsidRPr="00000000">
        <w:rPr>
          <w:sz w:val="22"/>
          <w:szCs w:val="22"/>
          <w:rtl w:val="0"/>
        </w:rPr>
        <w:t xml:space="preserve"> Visual Studio Code, Node.js, Android Studio.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Bases de Datos:</w:t>
      </w:r>
      <w:r w:rsidDel="00000000" w:rsidR="00000000" w:rsidRPr="00000000">
        <w:rPr>
          <w:sz w:val="22"/>
          <w:szCs w:val="22"/>
          <w:rtl w:val="0"/>
        </w:rPr>
        <w:t xml:space="preserve"> MySQL Workbench.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API REST:</w:t>
      </w:r>
      <w:r w:rsidDel="00000000" w:rsidR="00000000" w:rsidRPr="00000000">
        <w:rPr>
          <w:sz w:val="22"/>
          <w:szCs w:val="22"/>
          <w:rtl w:val="0"/>
        </w:rPr>
        <w:t xml:space="preserve"> Postman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UI y Automatización:</w:t>
      </w:r>
      <w:r w:rsidDel="00000000" w:rsidR="00000000" w:rsidRPr="00000000">
        <w:rPr>
          <w:sz w:val="22"/>
          <w:szCs w:val="22"/>
          <w:rtl w:val="0"/>
        </w:rPr>
        <w:t xml:space="preserve"> Cypress, Playwright, Jest.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Documentación y Estándares:</w:t>
      </w:r>
      <w:r w:rsidDel="00000000" w:rsidR="00000000" w:rsidRPr="00000000">
        <w:rPr>
          <w:sz w:val="22"/>
          <w:szCs w:val="22"/>
          <w:rtl w:val="0"/>
        </w:rPr>
        <w:t xml:space="preserve"> ISO/IEC/IEEE 29119, ISO/IEC 25010, OWASP.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seguridad: </w:t>
      </w:r>
      <w:r w:rsidDel="00000000" w:rsidR="00000000" w:rsidRPr="00000000">
        <w:rPr>
          <w:rtl w:val="0"/>
        </w:rPr>
        <w:t xml:space="preserve">Sonarqube.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260" w:lineRule="auto"/>
        <w:rPr>
          <w:color w:val="cc0000"/>
        </w:rPr>
      </w:pPr>
      <w:bookmarkStart w:colFirst="0" w:colLast="0" w:name="_rzctpdqhalj9" w:id="3"/>
      <w:bookmarkEnd w:id="3"/>
      <w:r w:rsidDel="00000000" w:rsidR="00000000" w:rsidRPr="00000000">
        <w:rPr>
          <w:color w:val="cc0000"/>
          <w:rtl w:val="0"/>
        </w:rPr>
        <w:t xml:space="preserve">9. REGLAS DE EQUIPO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pasa una tarea como realizada hasta que se hagan las respectivas pruebas unitarias que afirman que está bien realizado.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finaliza  una tarea hasta que el QA lead la apruebe.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los bugs deben ser reportados y solucionados antes de pasar nuevamente a revisión.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persona debe realizar la tarea que le corresponde únicamente.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errores críticos o de mayor prioridad deben solucionarse primero. 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Nadie sube cambios sin informar previamente.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deben realizar reuniones cortas a las cuales se debe asistir puntualmente para comunicar qué cambios se hicieron y explicar de manera breve cada uno.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 entregar las tareas en el tiempo acordado anteriormente 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La plantilla a continuación será utilizada para llevar la ejecución de las pruebas: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00"/>
        <w:gridCol w:w="855"/>
        <w:gridCol w:w="1275"/>
        <w:gridCol w:w="1050"/>
        <w:gridCol w:w="1245"/>
        <w:gridCol w:w="1785"/>
        <w:gridCol w:w="765"/>
        <w:gridCol w:w="1665"/>
        <w:tblGridChange w:id="0">
          <w:tblGrid>
            <w:gridCol w:w="570"/>
            <w:gridCol w:w="600"/>
            <w:gridCol w:w="855"/>
            <w:gridCol w:w="1275"/>
            <w:gridCol w:w="1050"/>
            <w:gridCol w:w="1245"/>
            <w:gridCol w:w="1785"/>
            <w:gridCol w:w="76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32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