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2558724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Edgar Joaquin Delgado Arias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Ivan Jimenez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Maxiel Martinez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Ederson Ramirez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Wirley Valencia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Ajustar nombre de tablas y relaciones, enfocado tanto para la venta como la compra con referente al inventario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Mejorar la adaptabilidad del sitio web al tipo de dispositivo en el que se va a visualizar.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Wilhelm Alexander Camacho Penagos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9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B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C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A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I1uCAFmPgtZgr7eMZyZrYSRMxQ==">AMUW2mXSxUdGkJrSBnhzfmXQT2gZ7fSh7Lsr5pRfRjTxF0ju9goDNl+PFjV6ups7MwCnSJqaAO+yLRhYantZiLQ5UbQ2crflelgraGrDc9Cq9vKY2djgu1A=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