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SISTEMAS DE INFORMACIÓN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228106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7 -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MARÍA LORENA CAICEDO PALACIOS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4"/>
        <w:gridCol w:w="4275"/>
        <w:gridCol w:w="588"/>
        <w:gridCol w:w="588"/>
        <w:gridCol w:w="3719"/>
        <w:tblGridChange w:id="0">
          <w:tblGrid>
            <w:gridCol w:w="794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Contempla una clara presentación de los procesos a mejorar  reflejados en los módulos que componen el sistema de información. (diagrama de procesos anterior y actual).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 es 100% funcional.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cumple con los atributos de calidad expresados en los requisitos no funcionales de acuerdo con la ISO 25010 (Producto Software).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puesto en marcha en un servidor web propio con salida a internet o a través de un plan de hosting.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al plan de capacitación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informe de las pruebas  de implantación realizadas al sistema durante la puesta en marcha en producción.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 manual técnico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 el  manual de usuario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F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E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E1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HW2kUEWnr6/RTvdO0eOhUY/auA==">AMUW2mXB7RfkaN2sm/5PhyfcmjyRSioriwjlM9KedysLvjMhAx51aqxbW5ii7ooiZauQfc9os34xNH08yyjtdghCe1uuyr+Y3WUOf6Qjwy5WtioLM9HRbbU=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