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2558723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Mónica Mendoza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Pablo González Ayala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Jhoan Sebastian Pinilla Acosta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Jesus Alberto Castellanos Romero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Deyvid Alexander Roa Alvarado </w:t>
            </w:r>
          </w:p>
        </w:tc>
      </w:tr>
    </w:tbl>
    <w:p w:rsidR="00000000" w:rsidDel="00000000" w:rsidP="00000000" w:rsidRDefault="00000000" w:rsidRPr="00000000" w14:paraId="00000018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9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5B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nk06DotxecahXgTYh22mLCWBTA==">AMUW2mVHaqu2kAMtxPPmjOrM1y7CKs9UhVvXHnu+hp3EGqKWb36ViskfpPZsFMyWEFCm4CHpMr4TEQNELFaJ5pgpSnNe3lpxZV5xtKgUJ0ZNLkKxTLP8aI7b4qUHjhqR1Sies2n/cSAT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