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 / 09 / 2022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2558715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Martha Patricia Cuervo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Kevin Esteban Gil Naranjo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Harold Andrés Penagos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Kevin Calderón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Cristian David Beltrán Cruz</w:t>
            </w:r>
          </w:p>
        </w:tc>
      </w:tr>
    </w:tbl>
    <w:p w:rsidR="00000000" w:rsidDel="00000000" w:rsidP="00000000" w:rsidRDefault="00000000" w:rsidRPr="00000000" w14:paraId="00000018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corregir los casos de uso, muchos son ambiguos, no todos pueden ser obligatorios, otros casos de uso no tienen una terminación del flujo adecuada.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definir con más claridad los verdaderos problemas que afectan a la empresa, y que estos problemas se satisfagan por medio de una solución tecnológica.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recomienda ajustarlas teniendo en cuenta las funcionalidades del sistema de información.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9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5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5C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5D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K0LSbhIV0LjLQe/JA7kf+fvs2w==">AMUW2mWkHlLIZE65kiyyPAoi2WX+Ci05RlfeR6Y7MkZobRJmc6G9p3HuP3HjfVZuRHjzxS576RWPEIxX/21L7t5UhDBeHTJM8RdPDfZxsz2vAh9DHVDFgcv/ZVTq98phfyn1GzkaxBnj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2022-09-20T04:27:00Z</dcterms:created>
  <dc:creator>lenovo</dc:creator>
</cp:coreProperties>
</file>