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4. Cookie-Richtlinie</w:t>
      </w:r>
    </w:p>
    <w:p>
      <w:pPr>
        <w:pStyle w:val="BodyText"/>
        <w:bidi w:val="0"/>
        <w:rPr/>
      </w:pPr>
      <w:r>
        <w:rPr>
          <w:i/>
        </w:rPr>
        <w:t>(Grundlage: DSGVO, § 25 TDDDG, ePrivacy-Richtlinie 2002/58/EG)</w:t>
      </w:r>
    </w:p>
    <w:p>
      <w:pPr>
        <w:pStyle w:val="Heading2"/>
        <w:bidi w:val="0"/>
        <w:ind w:hanging="0" w:start="0"/>
        <w:rPr/>
      </w:pPr>
      <w:r>
        <w:rPr/>
        <w:t>4.1. Was sind Cookies?</w:t>
      </w:r>
    </w:p>
    <w:p>
      <w:pPr>
        <w:pStyle w:val="BodyText"/>
        <w:bidi w:val="0"/>
        <w:rPr/>
      </w:pPr>
      <w:r>
        <w:rPr/>
        <w:t>Cookies sind kleine Textdateien, die beim Besuch einer Website auf Ihrem Endgerät gespeichert werden. In mobilen Anwendungen übernehmen Werbe-IDs (AAID/IDFA), SDKs und lokaler Speicher eine vergleichbare Funktion.</w:t>
      </w:r>
    </w:p>
    <w:p>
      <w:pPr>
        <w:pStyle w:val="BodyText"/>
        <w:bidi w:val="0"/>
        <w:rPr/>
      </w:pPr>
      <w:r>
        <w:rPr/>
        <w:t>Nach § 25 Abs. 1 TDDDG dürfen wir Informationen auf Ihrem Endgerät nur mit Ihrer Einwilligung speichern oder auslesen. Ausgenommen sind Zugriffe, die unbedingt erforderlich sind, damit wir Ihnen den von Ihnen ausdrücklich gewünschten Dienst bereitstellen können (§ 25 Abs. 2 Nr. 2 TDDDG).</w:t>
      </w:r>
    </w:p>
    <w:p>
      <w:pPr>
        <w:pStyle w:val="Heading2"/>
        <w:bidi w:val="0"/>
        <w:ind w:hanging="0" w:start="0"/>
        <w:rPr/>
      </w:pPr>
      <w:r>
        <w:rPr/>
        <w:t>4.2. Arten von Cookies und Kennungen</w:t>
      </w:r>
    </w:p>
    <w:p>
      <w:pPr>
        <w:pStyle w:val="BodyText"/>
        <w:numPr>
          <w:ilvl w:val="0"/>
          <w:numId w:val="2"/>
        </w:numPr>
        <w:tabs>
          <w:tab w:val="clear" w:pos="709"/>
          <w:tab w:val="left" w:pos="709" w:leader="none"/>
        </w:tabs>
        <w:bidi w:val="0"/>
        <w:ind w:hanging="283" w:start="709"/>
        <w:rPr/>
      </w:pPr>
      <w:r>
        <w:rPr>
          <w:b/>
        </w:rPr>
        <w:t>Unbedingt erforderlich:</w:t>
      </w:r>
      <w:r>
        <w:rPr/>
        <w:t xml:space="preserve"> notwendig für Betrieb und Sicherheit sowie zur Speicherung Ihrer Cookie-Entscheidung. Keine Einwilligung erforderlich.</w:t>
      </w:r>
    </w:p>
    <w:p>
      <w:pPr>
        <w:pStyle w:val="BodyText"/>
        <w:numPr>
          <w:ilvl w:val="0"/>
          <w:numId w:val="2"/>
        </w:numPr>
        <w:tabs>
          <w:tab w:val="clear" w:pos="709"/>
          <w:tab w:val="left" w:pos="709" w:leader="none"/>
        </w:tabs>
        <w:bidi w:val="0"/>
        <w:ind w:hanging="283" w:start="709"/>
        <w:rPr/>
      </w:pPr>
      <w:r>
        <w:rPr>
          <w:b/>
        </w:rPr>
        <w:t>Analyse:</w:t>
      </w:r>
      <w:r>
        <w:rPr/>
        <w:t xml:space="preserve"> Nutzungsstatistiken. Einwilligung erforderlich.</w:t>
      </w:r>
    </w:p>
    <w:p>
      <w:pPr>
        <w:pStyle w:val="BodyText"/>
        <w:numPr>
          <w:ilvl w:val="0"/>
          <w:numId w:val="2"/>
        </w:numPr>
        <w:tabs>
          <w:tab w:val="clear" w:pos="709"/>
          <w:tab w:val="left" w:pos="709" w:leader="none"/>
        </w:tabs>
        <w:bidi w:val="0"/>
        <w:ind w:hanging="283" w:start="709"/>
        <w:rPr/>
      </w:pPr>
      <w:r>
        <w:rPr>
          <w:b/>
        </w:rPr>
        <w:t>Werbung:</w:t>
      </w:r>
      <w:r>
        <w:rPr/>
        <w:t xml:space="preserve"> interessenbezogene Werbung und Zuordnung von Affiliate-Käufen. Einwilligung erforderlich.</w:t>
      </w:r>
    </w:p>
    <w:p>
      <w:pPr>
        <w:pStyle w:val="Heading2"/>
        <w:numPr>
          <w:ilvl w:val="0"/>
          <w:numId w:val="0"/>
        </w:numPr>
        <w:bidi w:val="0"/>
        <w:ind w:hanging="0" w:start="0"/>
        <w:rPr/>
      </w:pPr>
      <w:r>
        <w:rPr/>
        <w:t>4.3. Einwilligungsverwaltung</w:t>
      </w:r>
    </w:p>
    <w:p>
      <w:pPr>
        <w:pStyle w:val="BodyText"/>
        <w:bidi w:val="0"/>
        <w:rPr/>
      </w:pPr>
      <w:r>
        <w:rPr/>
        <w:t xml:space="preserve">Bei Ihrem ersten Besuch auf </w:t>
      </w:r>
      <w:hyperlink r:id="rId2">
        <w:r>
          <w:rPr>
            <w:rStyle w:val="Hyperlink"/>
          </w:rPr>
          <w:t>www.ferientiger.de</w:t>
        </w:r>
      </w:hyperlink>
      <w:r>
        <w:rPr/>
        <w:t xml:space="preserve"> wird ein Einwilligungsbanner angezeigt. Die Schaltflächen „Alle ablehnen", „Einstellungen" und „Alle akzeptieren" sind gleichwertig gestaltet und auf derselben Ebene erreichbar. „Alle ablehnen" ist mit einem Klick möglich. Solange Sie nicht eingewilligt haben, setzen wir ausschließlich unbedingt erforderliche Cookies (EuGH, C-673/17 — Planet49; EuGH, C-604/22 — IAB Europe).</w:t>
      </w:r>
    </w:p>
    <w:p>
      <w:pPr>
        <w:pStyle w:val="BodyText"/>
        <w:bidi w:val="0"/>
        <w:rPr/>
      </w:pPr>
      <w:r>
        <w:rPr/>
        <w:t>Ihre Entscheidung können Sie jederzeit über den Link „Cookie-Einstellungen" in der Fußzeile jeder Seite ändern.</w:t>
      </w:r>
    </w:p>
    <w:p>
      <w:pPr>
        <w:pStyle w:val="BodyText"/>
        <w:bidi w:val="0"/>
        <w:rPr/>
      </w:pPr>
      <w:r>
        <w:rPr/>
        <w:t>In der mobilen Anwendung wird für Werbung ein gesondertes Einwilligungsfenster angezeigt (Google User Messaging Platform — UMP). Auf iOS-Geräten fragt zusätzlich die Systemabfrage von Apple (App Tracking Transparency) Ihre Zustimmung zum Tracking ab.</w:t>
      </w:r>
    </w:p>
    <w:p>
      <w:pPr>
        <w:pStyle w:val="Heading2"/>
        <w:bidi w:val="0"/>
        <w:ind w:hanging="0" w:start="0"/>
        <w:rPr/>
      </w:pPr>
      <w:r>
        <w:rPr/>
        <w:t>4.4. Cookies auf der Website</w:t>
      </w:r>
    </w:p>
    <w:p>
      <w:pPr>
        <w:pStyle w:val="BodyText"/>
        <w:bidi w:val="0"/>
        <w:rPr/>
      </w:pPr>
      <w:r>
        <w:rPr>
          <w:b/>
        </w:rPr>
        <w:t>Unbedingt erforderlich</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Zweck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Speicherdauer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Anbieter</w:t>
            </w:r>
          </w:p>
        </w:tc>
      </w:tr>
      <w:tr>
        <w:trPr/>
        <w:tc>
          <w:tcPr>
            <w:tcW w:w="2409" w:type="dxa"/>
            <w:tcBorders>
              <w:start w:val="single" w:sz="4" w:space="0" w:color="000000"/>
              <w:bottom w:val="single" w:sz="4" w:space="0" w:color="000000"/>
            </w:tcBorders>
          </w:tcPr>
          <w:p>
            <w:pPr>
              <w:pStyle w:val="TableContents"/>
              <w:bidi w:val="0"/>
              <w:jc w:val="start"/>
              <w:rPr/>
            </w:pPr>
            <w:r>
              <w:rPr/>
              <w:t>ft_consent</w:t>
            </w:r>
          </w:p>
        </w:tc>
        <w:tc>
          <w:tcPr>
            <w:tcW w:w="2410" w:type="dxa"/>
            <w:tcBorders>
              <w:start w:val="single" w:sz="4" w:space="0" w:color="000000"/>
              <w:bottom w:val="single" w:sz="4" w:space="0" w:color="000000"/>
            </w:tcBorders>
          </w:tcPr>
          <w:p>
            <w:pPr>
              <w:pStyle w:val="TableContents"/>
              <w:bidi w:val="0"/>
              <w:jc w:val="start"/>
              <w:rPr/>
            </w:pPr>
            <w:r>
              <w:rPr/>
              <w:t>Speicherung Ihrer Cookie-Entscheidung</w:t>
            </w:r>
          </w:p>
        </w:tc>
        <w:tc>
          <w:tcPr>
            <w:tcW w:w="2409" w:type="dxa"/>
            <w:tcBorders>
              <w:start w:val="single" w:sz="4" w:space="0" w:color="000000"/>
              <w:bottom w:val="single" w:sz="4" w:space="0" w:color="000000"/>
            </w:tcBorders>
          </w:tcPr>
          <w:p>
            <w:pPr>
              <w:pStyle w:val="TableContents"/>
              <w:bidi w:val="0"/>
              <w:jc w:val="start"/>
              <w:rPr/>
            </w:pPr>
            <w:r>
              <w:rPr/>
              <w:t>6 Monate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Ferientiger</w:t>
            </w:r>
          </w:p>
        </w:tc>
      </w:tr>
    </w:tbl>
    <w:p>
      <w:pPr>
        <w:pStyle w:val="BodyText"/>
        <w:bidi w:val="0"/>
        <w:rPr/>
      </w:pPr>
      <w:r>
        <w:rPr/>
      </w:r>
    </w:p>
    <w:p>
      <w:pPr>
        <w:pStyle w:val="BodyText"/>
        <w:bidi w:val="0"/>
        <w:rPr/>
      </w:pPr>
      <w:r>
        <w:rPr>
          <w:b/>
        </w:rPr>
        <w:t>Analyse (nur mit Ihrer Einwilligung)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Zweck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Speicherdauer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Anbieter</w:t>
            </w:r>
          </w:p>
        </w:tc>
      </w:tr>
      <w:tr>
        <w:trPr/>
        <w:tc>
          <w:tcPr>
            <w:tcW w:w="2409" w:type="dxa"/>
            <w:tcBorders>
              <w:start w:val="single" w:sz="4" w:space="0" w:color="000000"/>
              <w:bottom w:val="single" w:sz="4" w:space="0" w:color="000000"/>
            </w:tcBorders>
          </w:tcPr>
          <w:p>
            <w:pPr>
              <w:pStyle w:val="TableContents"/>
              <w:bidi w:val="0"/>
              <w:jc w:val="start"/>
              <w:rPr/>
            </w:pPr>
            <w:r>
              <w:rPr/>
              <w:t>_ga</w:t>
            </w:r>
          </w:p>
        </w:tc>
        <w:tc>
          <w:tcPr>
            <w:tcW w:w="2410" w:type="dxa"/>
            <w:tcBorders>
              <w:start w:val="single" w:sz="4" w:space="0" w:color="000000"/>
              <w:bottom w:val="single" w:sz="4" w:space="0" w:color="000000"/>
            </w:tcBorders>
          </w:tcPr>
          <w:p>
            <w:pPr>
              <w:pStyle w:val="TableContents"/>
              <w:bidi w:val="0"/>
              <w:jc w:val="start"/>
              <w:rPr/>
            </w:pPr>
            <w:r>
              <w:rPr/>
              <w:t>Unterscheidung von Nutzerinnen und Nutzern</w:t>
            </w:r>
          </w:p>
        </w:tc>
        <w:tc>
          <w:tcPr>
            <w:tcW w:w="2409" w:type="dxa"/>
            <w:tcBorders>
              <w:start w:val="single" w:sz="4" w:space="0" w:color="000000"/>
              <w:bottom w:val="single" w:sz="4" w:space="0" w:color="000000"/>
            </w:tcBorders>
          </w:tcPr>
          <w:p>
            <w:pPr>
              <w:pStyle w:val="TableContents"/>
              <w:bidi w:val="0"/>
              <w:jc w:val="start"/>
              <w:rPr/>
            </w:pPr>
            <w:r>
              <w:rPr/>
              <w:t>24 Monate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Google Ireland Ltd.</w:t>
            </w:r>
          </w:p>
        </w:tc>
      </w:tr>
      <w:tr>
        <w:trPr/>
        <w:tc>
          <w:tcPr>
            <w:tcW w:w="2409" w:type="dxa"/>
            <w:tcBorders>
              <w:start w:val="single" w:sz="4" w:space="0" w:color="000000"/>
              <w:bottom w:val="single" w:sz="4" w:space="0" w:color="000000"/>
            </w:tcBorders>
          </w:tcPr>
          <w:p>
            <w:pPr>
              <w:pStyle w:val="TableContents"/>
              <w:bidi w:val="0"/>
              <w:rPr/>
            </w:pPr>
            <w:r>
              <w:rPr>
                <w:i/>
              </w:rPr>
              <w:t>ga</w:t>
            </w:r>
          </w:p>
        </w:tc>
        <w:tc>
          <w:tcPr>
            <w:tcW w:w="2410" w:type="dxa"/>
            <w:tcBorders>
              <w:start w:val="single" w:sz="4" w:space="0" w:color="000000"/>
              <w:bottom w:val="single" w:sz="4" w:space="0" w:color="000000"/>
            </w:tcBorders>
          </w:tcPr>
          <w:p>
            <w:pPr>
              <w:pStyle w:val="TableContents"/>
              <w:bidi w:val="0"/>
              <w:jc w:val="start"/>
              <w:rPr/>
            </w:pPr>
            <w:r>
              <w:rPr/>
              <w:t>Zustandserhalt der Sitzung in Google Analytics 4</w:t>
            </w:r>
          </w:p>
        </w:tc>
        <w:tc>
          <w:tcPr>
            <w:tcW w:w="2409" w:type="dxa"/>
            <w:tcBorders>
              <w:start w:val="single" w:sz="4" w:space="0" w:color="000000"/>
              <w:bottom w:val="single" w:sz="4" w:space="0" w:color="000000"/>
            </w:tcBorders>
          </w:tcPr>
          <w:p>
            <w:pPr>
              <w:pStyle w:val="TableContents"/>
              <w:bidi w:val="0"/>
              <w:jc w:val="start"/>
              <w:rPr/>
            </w:pPr>
            <w:r>
              <w:rPr/>
              <w:t>24 Monate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Google Ireland Ltd.</w:t>
            </w:r>
          </w:p>
        </w:tc>
      </w:tr>
    </w:tbl>
    <w:p>
      <w:pPr>
        <w:pStyle w:val="BodyText"/>
        <w:bidi w:val="0"/>
        <w:rPr/>
      </w:pPr>
      <w:r>
        <w:rPr/>
      </w:r>
    </w:p>
    <w:p>
      <w:pPr>
        <w:pStyle w:val="BodyText"/>
        <w:bidi w:val="0"/>
        <w:rPr/>
      </w:pPr>
      <w:r>
        <w:rPr>
          <w:b/>
        </w:rPr>
        <w:t>Werbung (nur mit Ihrer Einwilligung)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Zweck</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Speicherdauer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Anbieter</w:t>
            </w:r>
          </w:p>
        </w:tc>
      </w:tr>
      <w:tr>
        <w:trPr/>
        <w:tc>
          <w:tcPr>
            <w:tcW w:w="2409" w:type="dxa"/>
            <w:tcBorders>
              <w:start w:val="single" w:sz="4" w:space="0" w:color="000000"/>
              <w:bottom w:val="single" w:sz="4" w:space="0" w:color="000000"/>
            </w:tcBorders>
          </w:tcPr>
          <w:p>
            <w:pPr>
              <w:pStyle w:val="TableContents"/>
              <w:bidi w:val="0"/>
              <w:jc w:val="start"/>
              <w:rPr/>
            </w:pPr>
            <w:r>
              <w:rPr/>
              <w:t>ad-id / ubid-acbde</w:t>
            </w:r>
          </w:p>
        </w:tc>
        <w:tc>
          <w:tcPr>
            <w:tcW w:w="2410" w:type="dxa"/>
            <w:tcBorders>
              <w:start w:val="single" w:sz="4" w:space="0" w:color="000000"/>
              <w:bottom w:val="single" w:sz="4" w:space="0" w:color="000000"/>
            </w:tcBorders>
          </w:tcPr>
          <w:p>
            <w:pPr>
              <w:pStyle w:val="TableContents"/>
              <w:bidi w:val="0"/>
              <w:jc w:val="start"/>
              <w:rPr/>
            </w:pPr>
            <w:r>
              <w:rPr/>
              <w:t>Zuordnung von Käufen im Amazon-Partnerprogramm</w:t>
            </w:r>
          </w:p>
        </w:tc>
        <w:tc>
          <w:tcPr>
            <w:tcW w:w="2409" w:type="dxa"/>
            <w:tcBorders>
              <w:start w:val="single" w:sz="4" w:space="0" w:color="000000"/>
              <w:bottom w:val="single" w:sz="4" w:space="0" w:color="000000"/>
            </w:tcBorders>
          </w:tcPr>
          <w:p>
            <w:pPr>
              <w:pStyle w:val="TableContents"/>
              <w:bidi w:val="0"/>
              <w:jc w:val="start"/>
              <w:rPr/>
            </w:pPr>
            <w:r>
              <w:rPr/>
              <w:t>bis zu 24 Stunden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Amazon EU S.à r.l.</w:t>
            </w:r>
          </w:p>
        </w:tc>
      </w:tr>
    </w:tbl>
    <w:p>
      <w:pPr>
        <w:pStyle w:val="BodyText"/>
        <w:bidi w:val="0"/>
        <w:rPr/>
      </w:pPr>
      <w:r>
        <w:rPr/>
      </w:r>
    </w:p>
    <w:p>
      <w:pPr>
        <w:pStyle w:val="BodyText"/>
        <w:bidi w:val="0"/>
        <w:rPr/>
      </w:pPr>
      <w:r>
        <w:rPr/>
        <w:t>Diese Übersicht gibt den Stand zum unten genannten Datum wieder. Setzen wir weitere Cookies ein, aktualisieren wir die Tabelle vor deren Einsatz.</w:t>
      </w:r>
    </w:p>
    <w:p>
      <w:pPr>
        <w:pStyle w:val="Heading2"/>
        <w:bidi w:val="0"/>
        <w:ind w:hanging="0" w:start="0"/>
        <w:rPr/>
      </w:pPr>
      <w:r>
        <w:rPr/>
        <w:t>4.5. Technologien in der App</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Technologie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Zweck</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Speicherdauer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Anbieter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Einwilligung</w:t>
            </w:r>
          </w:p>
        </w:tc>
      </w:tr>
      <w:tr>
        <w:trPr/>
        <w:tc>
          <w:tcPr>
            <w:tcW w:w="1927" w:type="dxa"/>
            <w:tcBorders>
              <w:start w:val="single" w:sz="4" w:space="0" w:color="000000"/>
              <w:bottom w:val="single" w:sz="4" w:space="0" w:color="000000"/>
            </w:tcBorders>
          </w:tcPr>
          <w:p>
            <w:pPr>
              <w:pStyle w:val="TableContents"/>
              <w:bidi w:val="0"/>
              <w:jc w:val="start"/>
              <w:rPr/>
            </w:pPr>
            <w:r>
              <w:rPr/>
              <w:t>Werbe-ID (AAID/IDFA)</w:t>
            </w:r>
          </w:p>
        </w:tc>
        <w:tc>
          <w:tcPr>
            <w:tcW w:w="1928" w:type="dxa"/>
            <w:tcBorders>
              <w:start w:val="single" w:sz="4" w:space="0" w:color="000000"/>
              <w:bottom w:val="single" w:sz="4" w:space="0" w:color="000000"/>
            </w:tcBorders>
          </w:tcPr>
          <w:p>
            <w:pPr>
              <w:pStyle w:val="TableContents"/>
              <w:bidi w:val="0"/>
              <w:jc w:val="start"/>
              <w:rPr/>
            </w:pPr>
            <w:r>
              <w:rPr/>
              <w:t>personalisierte Werbung</w:t>
            </w:r>
          </w:p>
        </w:tc>
        <w:tc>
          <w:tcPr>
            <w:tcW w:w="1927" w:type="dxa"/>
            <w:tcBorders>
              <w:start w:val="single" w:sz="4" w:space="0" w:color="000000"/>
              <w:bottom w:val="single" w:sz="4" w:space="0" w:color="000000"/>
            </w:tcBorders>
          </w:tcPr>
          <w:p>
            <w:pPr>
              <w:pStyle w:val="TableContents"/>
              <w:bidi w:val="0"/>
              <w:jc w:val="start"/>
              <w:rPr/>
            </w:pPr>
            <w:r>
              <w:rPr/>
              <w:t>bis zum Zurücksetzen durch Sie</w:t>
            </w:r>
          </w:p>
        </w:tc>
        <w:tc>
          <w:tcPr>
            <w:tcW w:w="1928" w:type="dxa"/>
            <w:tcBorders>
              <w:start w:val="single" w:sz="4" w:space="0" w:color="000000"/>
              <w:bottom w:val="single" w:sz="4" w:space="0" w:color="000000"/>
            </w:tcBorders>
          </w:tcPr>
          <w:p>
            <w:pPr>
              <w:pStyle w:val="TableContents"/>
              <w:bidi w:val="0"/>
              <w:jc w:val="start"/>
              <w:rPr/>
            </w:pPr>
            <w:r>
              <w:rPr/>
              <w:t>Google, Apple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ja</w:t>
            </w:r>
          </w:p>
        </w:tc>
      </w:tr>
      <w:tr>
        <w:trPr/>
        <w:tc>
          <w:tcPr>
            <w:tcW w:w="1927" w:type="dxa"/>
            <w:tcBorders>
              <w:start w:val="single" w:sz="4" w:space="0" w:color="000000"/>
              <w:bottom w:val="single" w:sz="4" w:space="0" w:color="000000"/>
            </w:tcBorders>
          </w:tcPr>
          <w:p>
            <w:pPr>
              <w:pStyle w:val="TableContents"/>
              <w:bidi w:val="0"/>
              <w:jc w:val="start"/>
              <w:rPr/>
            </w:pPr>
            <w:r>
              <w:rPr/>
              <w:t>AdMob SDK</w:t>
            </w:r>
          </w:p>
        </w:tc>
        <w:tc>
          <w:tcPr>
            <w:tcW w:w="1928" w:type="dxa"/>
            <w:tcBorders>
              <w:start w:val="single" w:sz="4" w:space="0" w:color="000000"/>
              <w:bottom w:val="single" w:sz="4" w:space="0" w:color="000000"/>
            </w:tcBorders>
          </w:tcPr>
          <w:p>
            <w:pPr>
              <w:pStyle w:val="TableContents"/>
              <w:bidi w:val="0"/>
              <w:jc w:val="start"/>
              <w:rPr/>
            </w:pPr>
            <w:r>
              <w:rPr/>
              <w:t>Auslieferung von Werbung</w:t>
            </w:r>
          </w:p>
        </w:tc>
        <w:tc>
          <w:tcPr>
            <w:tcW w:w="1927" w:type="dxa"/>
            <w:tcBorders>
              <w:start w:val="single" w:sz="4" w:space="0" w:color="000000"/>
              <w:bottom w:val="single" w:sz="4" w:space="0" w:color="000000"/>
            </w:tcBorders>
          </w:tcPr>
          <w:p>
            <w:pPr>
              <w:pStyle w:val="TableContents"/>
              <w:bidi w:val="0"/>
              <w:jc w:val="start"/>
              <w:rPr/>
            </w:pPr>
            <w:r>
              <w:rPr/>
              <w:t>Sitzung</w:t>
            </w:r>
          </w:p>
        </w:tc>
        <w:tc>
          <w:tcPr>
            <w:tcW w:w="1928" w:type="dxa"/>
            <w:tcBorders>
              <w:start w:val="single" w:sz="4" w:space="0" w:color="000000"/>
              <w:bottom w:val="single" w:sz="4" w:space="0" w:color="000000"/>
            </w:tcBorders>
          </w:tcPr>
          <w:p>
            <w:pPr>
              <w:pStyle w:val="TableContents"/>
              <w:bidi w:val="0"/>
              <w:jc w:val="start"/>
              <w:rPr/>
            </w:pPr>
            <w:r>
              <w:rPr/>
              <w:t>Google Ireland Ltd.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ja für personalisierte Werbung</w:t>
            </w:r>
          </w:p>
        </w:tc>
      </w:tr>
      <w:tr>
        <w:trPr/>
        <w:tc>
          <w:tcPr>
            <w:tcW w:w="1927" w:type="dxa"/>
            <w:tcBorders>
              <w:start w:val="single" w:sz="4" w:space="0" w:color="000000"/>
              <w:bottom w:val="single" w:sz="4" w:space="0" w:color="000000"/>
            </w:tcBorders>
          </w:tcPr>
          <w:p>
            <w:pPr>
              <w:pStyle w:val="TableContents"/>
              <w:bidi w:val="0"/>
              <w:jc w:val="start"/>
              <w:rPr/>
            </w:pPr>
            <w:r>
              <w:rPr/>
              <w:t>Firebase Analytics</w:t>
            </w:r>
          </w:p>
        </w:tc>
        <w:tc>
          <w:tcPr>
            <w:tcW w:w="1928" w:type="dxa"/>
            <w:tcBorders>
              <w:start w:val="single" w:sz="4" w:space="0" w:color="000000"/>
              <w:bottom w:val="single" w:sz="4" w:space="0" w:color="000000"/>
            </w:tcBorders>
          </w:tcPr>
          <w:p>
            <w:pPr>
              <w:pStyle w:val="TableContents"/>
              <w:bidi w:val="0"/>
              <w:jc w:val="start"/>
              <w:rPr/>
            </w:pPr>
            <w:r>
              <w:rPr/>
              <w:t>Nutzungsanalyse</w:t>
            </w:r>
          </w:p>
        </w:tc>
        <w:tc>
          <w:tcPr>
            <w:tcW w:w="1927" w:type="dxa"/>
            <w:tcBorders>
              <w:start w:val="single" w:sz="4" w:space="0" w:color="000000"/>
              <w:bottom w:val="single" w:sz="4" w:space="0" w:color="000000"/>
            </w:tcBorders>
          </w:tcPr>
          <w:p>
            <w:pPr>
              <w:pStyle w:val="TableContents"/>
              <w:bidi w:val="0"/>
              <w:jc w:val="start"/>
              <w:rPr/>
            </w:pPr>
            <w:r>
              <w:rPr/>
              <w:t>14 Monate</w:t>
            </w:r>
          </w:p>
        </w:tc>
        <w:tc>
          <w:tcPr>
            <w:tcW w:w="1928" w:type="dxa"/>
            <w:tcBorders>
              <w:start w:val="single" w:sz="4" w:space="0" w:color="000000"/>
              <w:bottom w:val="single" w:sz="4" w:space="0" w:color="000000"/>
            </w:tcBorders>
          </w:tcPr>
          <w:p>
            <w:pPr>
              <w:pStyle w:val="TableContents"/>
              <w:bidi w:val="0"/>
              <w:jc w:val="start"/>
              <w:rPr/>
            </w:pPr>
            <w:r>
              <w:rPr/>
              <w:t>Google Ireland Ltd.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ja</w:t>
            </w:r>
          </w:p>
        </w:tc>
      </w:tr>
      <w:tr>
        <w:trPr/>
        <w:tc>
          <w:tcPr>
            <w:tcW w:w="1927" w:type="dxa"/>
            <w:tcBorders>
              <w:start w:val="single" w:sz="4" w:space="0" w:color="000000"/>
              <w:bottom w:val="single" w:sz="4" w:space="0" w:color="000000"/>
            </w:tcBorders>
          </w:tcPr>
          <w:p>
            <w:pPr>
              <w:pStyle w:val="TableContents"/>
              <w:bidi w:val="0"/>
              <w:jc w:val="start"/>
              <w:rPr/>
            </w:pPr>
            <w:r>
              <w:rPr/>
              <w:t>Firebase Crashlytics</w:t>
            </w:r>
          </w:p>
        </w:tc>
        <w:tc>
          <w:tcPr>
            <w:tcW w:w="1928" w:type="dxa"/>
            <w:tcBorders>
              <w:start w:val="single" w:sz="4" w:space="0" w:color="000000"/>
              <w:bottom w:val="single" w:sz="4" w:space="0" w:color="000000"/>
            </w:tcBorders>
          </w:tcPr>
          <w:p>
            <w:pPr>
              <w:pStyle w:val="TableContents"/>
              <w:bidi w:val="0"/>
              <w:jc w:val="start"/>
              <w:rPr/>
            </w:pPr>
            <w:r>
              <w:rPr/>
              <w:t>Absturz- und Fehlerberichte</w:t>
            </w:r>
          </w:p>
        </w:tc>
        <w:tc>
          <w:tcPr>
            <w:tcW w:w="1927" w:type="dxa"/>
            <w:tcBorders>
              <w:start w:val="single" w:sz="4" w:space="0" w:color="000000"/>
              <w:bottom w:val="single" w:sz="4" w:space="0" w:color="000000"/>
            </w:tcBorders>
          </w:tcPr>
          <w:p>
            <w:pPr>
              <w:pStyle w:val="TableContents"/>
              <w:bidi w:val="0"/>
              <w:jc w:val="start"/>
              <w:rPr/>
            </w:pPr>
            <w:r>
              <w:rPr/>
              <w:t>90 Tage</w:t>
            </w:r>
          </w:p>
        </w:tc>
        <w:tc>
          <w:tcPr>
            <w:tcW w:w="1928" w:type="dxa"/>
            <w:tcBorders>
              <w:start w:val="single" w:sz="4" w:space="0" w:color="000000"/>
              <w:bottom w:val="single" w:sz="4" w:space="0" w:color="000000"/>
            </w:tcBorders>
          </w:tcPr>
          <w:p>
            <w:pPr>
              <w:pStyle w:val="TableContents"/>
              <w:bidi w:val="0"/>
              <w:jc w:val="start"/>
              <w:rPr/>
            </w:pPr>
            <w:r>
              <w:rPr/>
              <w:t>Google Ireland Ltd.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nein, berechtigtes Interesse</w:t>
            </w:r>
          </w:p>
        </w:tc>
      </w:tr>
      <w:tr>
        <w:trPr/>
        <w:tc>
          <w:tcPr>
            <w:tcW w:w="1927" w:type="dxa"/>
            <w:tcBorders>
              <w:start w:val="single" w:sz="4" w:space="0" w:color="000000"/>
              <w:bottom w:val="single" w:sz="4" w:space="0" w:color="000000"/>
            </w:tcBorders>
          </w:tcPr>
          <w:p>
            <w:pPr>
              <w:pStyle w:val="TableContents"/>
              <w:bidi w:val="0"/>
              <w:jc w:val="start"/>
              <w:rPr/>
            </w:pPr>
            <w:r>
              <w:rPr/>
              <w:t>Lokaler Speicher</w:t>
            </w:r>
          </w:p>
        </w:tc>
        <w:tc>
          <w:tcPr>
            <w:tcW w:w="1928" w:type="dxa"/>
            <w:tcBorders>
              <w:start w:val="single" w:sz="4" w:space="0" w:color="000000"/>
              <w:bottom w:val="single" w:sz="4" w:space="0" w:color="000000"/>
            </w:tcBorders>
          </w:tcPr>
          <w:p>
            <w:pPr>
              <w:pStyle w:val="TableContents"/>
              <w:bidi w:val="0"/>
              <w:jc w:val="start"/>
              <w:rPr/>
            </w:pPr>
            <w:r>
              <w:rPr/>
              <w:t>Ihre Einstellungen in der App</w:t>
            </w:r>
          </w:p>
        </w:tc>
        <w:tc>
          <w:tcPr>
            <w:tcW w:w="1927" w:type="dxa"/>
            <w:tcBorders>
              <w:start w:val="single" w:sz="4" w:space="0" w:color="000000"/>
              <w:bottom w:val="single" w:sz="4" w:space="0" w:color="000000"/>
            </w:tcBorders>
          </w:tcPr>
          <w:p>
            <w:pPr>
              <w:pStyle w:val="TableContents"/>
              <w:bidi w:val="0"/>
              <w:jc w:val="start"/>
              <w:rPr/>
            </w:pPr>
            <w:r>
              <w:rPr/>
              <w:t>bis zur Löschung</w:t>
            </w:r>
          </w:p>
        </w:tc>
        <w:tc>
          <w:tcPr>
            <w:tcW w:w="1928" w:type="dxa"/>
            <w:tcBorders>
              <w:start w:val="single" w:sz="4" w:space="0" w:color="000000"/>
              <w:bottom w:val="single" w:sz="4" w:space="0" w:color="000000"/>
            </w:tcBorders>
          </w:tcPr>
          <w:p>
            <w:pPr>
              <w:pStyle w:val="TableContents"/>
              <w:bidi w:val="0"/>
              <w:jc w:val="start"/>
              <w:rPr/>
            </w:pPr>
            <w:r>
              <w:rPr/>
              <w:t>Ferientiger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nein, unbedingt erforderlich</w:t>
            </w:r>
          </w:p>
        </w:tc>
      </w:tr>
    </w:tbl>
    <w:p>
      <w:pPr>
        <w:pStyle w:val="BodyText"/>
        <w:bidi w:val="0"/>
        <w:rPr/>
      </w:pPr>
      <w:r>
        <w:rPr/>
      </w:r>
    </w:p>
    <w:p>
      <w:pPr>
        <w:pStyle w:val="Heading2"/>
        <w:bidi w:val="0"/>
        <w:ind w:hanging="0" w:start="0"/>
        <w:rPr/>
      </w:pPr>
      <w:r>
        <w:rPr/>
        <w:t>4.6. Anbieter Dritter und Übermittlung in Drittländer</w:t>
      </w:r>
    </w:p>
    <w:p>
      <w:pPr>
        <w:pStyle w:val="BodyText"/>
        <w:bidi w:val="0"/>
        <w:rPr/>
      </w:pPr>
      <w:r>
        <w:rPr/>
        <w:t>Analyse- und Werbetechnologien werden von Google Ireland Ltd. und Amazon EU S.à r.l. bereitgestellt. Dabei können Daten in die Vereinigten Staaten übermittelt werden. Die Übermittlung stützt sich auf den Angemessenheitsbeschluss zum EU-US Data Privacy Framework, soweit der Empfänger zertifiziert ist, und ergänzend auf Standardvertragsklauseln nach Art. 46 Abs. 2 lit. c DSGVO.</w:t>
      </w:r>
    </w:p>
    <w:p>
      <w:pPr>
        <w:pStyle w:val="BodyText"/>
        <w:bidi w:val="0"/>
        <w:rPr/>
      </w:pPr>
      <w:r>
        <w:rPr/>
        <w:t>Ergänzend gelten die Datenschutzerklärungen der Anbieter: Google — policies.google.com/privacy · Amazon — amazon.de/gp/help/customer/display.html?nodeId=201909010</w:t>
      </w:r>
    </w:p>
    <w:p>
      <w:pPr>
        <w:pStyle w:val="Heading2"/>
        <w:bidi w:val="0"/>
        <w:ind w:hanging="0" w:start="0"/>
        <w:rPr/>
      </w:pPr>
      <w:r>
        <w:rPr/>
        <w:t>4.7. Ihre Wahlmöglichkeiten</w:t>
      </w:r>
    </w:p>
    <w:p>
      <w:pPr>
        <w:pStyle w:val="BodyText"/>
        <w:numPr>
          <w:ilvl w:val="0"/>
          <w:numId w:val="3"/>
        </w:numPr>
        <w:tabs>
          <w:tab w:val="clear" w:pos="709"/>
          <w:tab w:val="left" w:pos="709" w:leader="none"/>
        </w:tabs>
        <w:bidi w:val="0"/>
        <w:ind w:hanging="283" w:start="709"/>
        <w:rPr/>
      </w:pPr>
      <w:r>
        <w:rPr>
          <w:b/>
        </w:rPr>
        <w:t>Alle akzeptieren:</w:t>
      </w:r>
      <w:r>
        <w:rPr/>
        <w:t xml:space="preserve"> Alle einwilligungspflichtigen Cookies und Technologien werden aktiviert.</w:t>
      </w:r>
    </w:p>
    <w:p>
      <w:pPr>
        <w:pStyle w:val="BodyText"/>
        <w:numPr>
          <w:ilvl w:val="0"/>
          <w:numId w:val="3"/>
        </w:numPr>
        <w:tabs>
          <w:tab w:val="clear" w:pos="709"/>
          <w:tab w:val="left" w:pos="709" w:leader="none"/>
        </w:tabs>
        <w:bidi w:val="0"/>
        <w:ind w:hanging="283" w:start="709"/>
        <w:rPr/>
      </w:pPr>
      <w:r>
        <w:rPr>
          <w:b/>
        </w:rPr>
        <w:t>Alle ablehnen:</w:t>
      </w:r>
      <w:r>
        <w:rPr/>
        <w:t xml:space="preserve"> Es werden ausschließlich unbedingt erforderliche Cookies gesetzt. Werbung wird kontextbezogen ausgespielt; der Dienst bleibt vollständig nutzbar.</w:t>
      </w:r>
    </w:p>
    <w:p>
      <w:pPr>
        <w:pStyle w:val="BodyText"/>
        <w:numPr>
          <w:ilvl w:val="0"/>
          <w:numId w:val="3"/>
        </w:numPr>
        <w:tabs>
          <w:tab w:val="clear" w:pos="709"/>
          <w:tab w:val="left" w:pos="709" w:leader="none"/>
        </w:tabs>
        <w:bidi w:val="0"/>
        <w:ind w:hanging="283" w:start="709"/>
        <w:rPr/>
      </w:pPr>
      <w:r>
        <w:rPr>
          <w:b/>
        </w:rPr>
        <w:t>Einstellungen:</w:t>
      </w:r>
      <w:r>
        <w:rPr/>
        <w:t xml:space="preserve"> Sie wählen einzelne Zwecke aus.</w:t>
      </w:r>
    </w:p>
    <w:p>
      <w:pPr>
        <w:pStyle w:val="BodyText"/>
        <w:numPr>
          <w:ilvl w:val="0"/>
          <w:numId w:val="3"/>
        </w:numPr>
        <w:tabs>
          <w:tab w:val="clear" w:pos="709"/>
          <w:tab w:val="left" w:pos="709" w:leader="none"/>
        </w:tabs>
        <w:bidi w:val="0"/>
        <w:ind w:hanging="283" w:start="709"/>
        <w:rPr/>
      </w:pPr>
      <w:r>
        <w:rPr>
          <w:b/>
        </w:rPr>
        <w:t>Widerruf:</w:t>
      </w:r>
      <w:r>
        <w:rPr/>
        <w:t xml:space="preserve"> Sie können Ihre Einwilligung jederzeit mit Wirkung für die Zukunft widerrufen — auf der Website über „Cookie-Einstellungen" in der Fußzeile, in der App über das Einwilligungsfenster beim Start oder per E-Mail an </w:t>
      </w:r>
      <w:hyperlink r:id="rId3">
        <w:r>
          <w:rPr>
            <w:rStyle w:val="Hyperlink"/>
          </w:rPr>
          <w:t>info@percon.com</w:t>
        </w:r>
      </w:hyperlink>
      <w:r>
        <w:rPr/>
        <w:t xml:space="preserve">. Für die Löschung bereits erhobener Daten richten Sie bitte eine gesonderte Anfrage an </w:t>
      </w:r>
      <w:hyperlink r:id="rId4">
        <w:r>
          <w:rPr>
            <w:rStyle w:val="Hyperlink"/>
          </w:rPr>
          <w:t>info@percon.com</w:t>
        </w:r>
      </w:hyperlink>
      <w:r>
        <w:rPr/>
        <w:t>.</w:t>
      </w:r>
    </w:p>
    <w:p>
      <w:pPr>
        <w:pStyle w:val="Heading2"/>
        <w:numPr>
          <w:ilvl w:val="0"/>
          <w:numId w:val="0"/>
        </w:numPr>
        <w:bidi w:val="0"/>
        <w:ind w:hanging="0" w:start="0"/>
        <w:rPr/>
      </w:pPr>
      <w:r>
        <w:rPr/>
        <w:t>4.8. Einstellungen im Browser</w:t>
      </w:r>
    </w:p>
    <w:p>
      <w:pPr>
        <w:pStyle w:val="BodyText"/>
        <w:bidi w:val="0"/>
        <w:rPr/>
      </w:pPr>
      <w:r>
        <w:rPr/>
        <w:t>Unabhängig von unserem Banner können Sie Cookies in Ihrem Browser verwalten:</w:t>
      </w:r>
    </w:p>
    <w:p>
      <w:pPr>
        <w:pStyle w:val="BodyText"/>
        <w:numPr>
          <w:ilvl w:val="0"/>
          <w:numId w:val="4"/>
        </w:numPr>
        <w:tabs>
          <w:tab w:val="clear" w:pos="709"/>
          <w:tab w:val="left" w:pos="709" w:leader="none"/>
        </w:tabs>
        <w:bidi w:val="0"/>
        <w:ind w:hanging="283" w:start="709"/>
        <w:rPr/>
      </w:pPr>
      <w:r>
        <w:rPr/>
        <w:t>Chrome: Einstellungen &gt; Datenschutz und Sicherheit &gt; Drittanbieter-Cookies</w:t>
      </w:r>
    </w:p>
    <w:p>
      <w:pPr>
        <w:pStyle w:val="BodyText"/>
        <w:numPr>
          <w:ilvl w:val="0"/>
          <w:numId w:val="4"/>
        </w:numPr>
        <w:tabs>
          <w:tab w:val="clear" w:pos="709"/>
          <w:tab w:val="left" w:pos="709" w:leader="none"/>
        </w:tabs>
        <w:bidi w:val="0"/>
        <w:ind w:hanging="283" w:start="709"/>
        <w:rPr/>
      </w:pPr>
      <w:r>
        <w:rPr/>
        <w:t>Firefox: Einstellungen &gt; Datenschutz &amp; Sicherheit &gt; Cookies und Website-Daten</w:t>
      </w:r>
    </w:p>
    <w:p>
      <w:pPr>
        <w:pStyle w:val="BodyText"/>
        <w:numPr>
          <w:ilvl w:val="0"/>
          <w:numId w:val="4"/>
        </w:numPr>
        <w:tabs>
          <w:tab w:val="clear" w:pos="709"/>
          <w:tab w:val="left" w:pos="709" w:leader="none"/>
        </w:tabs>
        <w:bidi w:val="0"/>
        <w:ind w:hanging="283" w:start="709"/>
        <w:rPr/>
      </w:pPr>
      <w:r>
        <w:rPr/>
        <w:t>Safari: Einstellungen &gt; Datenschutz &gt; Website-Daten verwalten</w:t>
      </w:r>
    </w:p>
    <w:p>
      <w:pPr>
        <w:pStyle w:val="BodyText"/>
        <w:numPr>
          <w:ilvl w:val="0"/>
          <w:numId w:val="4"/>
        </w:numPr>
        <w:tabs>
          <w:tab w:val="clear" w:pos="709"/>
          <w:tab w:val="left" w:pos="709" w:leader="none"/>
        </w:tabs>
        <w:bidi w:val="0"/>
        <w:ind w:hanging="283" w:start="709"/>
        <w:rPr/>
      </w:pPr>
      <w:r>
        <w:rPr/>
        <w:t>Edge: Einstellungen &gt; Cookies und Websiteberechtigungen</w:t>
      </w:r>
    </w:p>
    <w:p>
      <w:pPr>
        <w:pStyle w:val="HorizontalLine"/>
        <w:bidi w:val="0"/>
        <w:rPr/>
      </w:pPr>
      <w:r>
        <w:rPr/>
      </w:r>
    </w:p>
    <w:p>
      <w:pPr>
        <w:pStyle w:val="BodyText"/>
        <w:bidi w:val="0"/>
        <w:rPr/>
      </w:pPr>
      <w:r>
        <w:rPr/>
        <w:t>Stand: 09.09.2026</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erientiger.de/" TargetMode="External"/><Relationship Id="rId3" Type="http://schemas.openxmlformats.org/officeDocument/2006/relationships/hyperlink" Target="mailto:info@percon.com" TargetMode="External"/><Relationship Id="rId4" Type="http://schemas.openxmlformats.org/officeDocument/2006/relationships/hyperlink" Target="mailto:info@percon.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