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2025 Yıllık Faaliyet Raporu</w:t>
      </w:r>
    </w:p>
    <w:p>
      <w:pPr>
        <w:pStyle w:val="Subtitle"/>
      </w:pPr>
      <w:r>
        <w:t>Yönetim Kuruluna sunulmuştur · Ocak 2026</w:t>
      </w:r>
    </w:p>
    <w:p>
      <w:pPr>
        <w:jc w:val="left"/>
      </w:pPr>
      <w:r>
        <w:t>Kuzey Lojistik A.Ş.</w:t>
      </w:r>
    </w:p>
    <w:p>
      <w:r>
        <w:br w:type="page"/>
      </w:r>
    </w:p>
    <w:p>
      <w:pPr>
        <w:pStyle w:val="TOCHeading"/>
      </w:pPr>
      <w:r>
        <w:t>İçindekiler</w:t>
      </w:r>
    </w:p>
    <w:p>
      <w:pPr>
        <w:tabs>
          <w:tab w:pos="9071" w:val="right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1. Giriş</w:t>
        <w:tab/>
        <w:t>3</w:t>
      </w:r>
    </w:p>
    <w:p>
      <w:pPr>
        <w:tabs>
          <w:tab w:pos="9071" w:val="right"/>
        </w:tabs>
      </w:pPr>
      <w:r>
        <w:t>1.1 Kapsam</w:t>
        <w:tab/>
        <w:t>3</w:t>
      </w:r>
    </w:p>
    <w:p>
      <w:pPr>
        <w:tabs>
          <w:tab w:pos="9071" w:val="right"/>
        </w:tabs>
      </w:pPr>
      <w:r>
        <w:t>2. Finansal Sonuçlar</w:t>
        <w:tab/>
        <w:t>3</w:t>
      </w:r>
    </w:p>
    <w:p>
      <w:pPr>
        <w:tabs>
          <w:tab w:pos="9071" w:val="right"/>
        </w:tabs>
      </w:pPr>
      <w:r>
        <w:t>3. Operasyon</w:t>
        <w:tab/>
        <w:t>3</w:t>
      </w:r>
    </w:p>
    <w:p>
      <w:pPr>
        <w:tabs>
          <w:tab w:pos="9071" w:val="right"/>
        </w:tabs>
      </w:pPr>
      <w:r>
        <w:t>4. Sonuç ve Öneriler</w:t>
        <w:tab/>
        <w:t>4</w:t>
      </w:r>
    </w:p>
    <w:p>
      <w:pPr>
        <w:tabs>
          <w:tab w:pos="9071" w:val="right"/>
        </w:tabs>
      </w:pPr>
      <w:r>
        <w:t>5. Ek: Bölge Detayı</w:t>
        <w:tab/>
        <w:t>5</w:t>
      </w:r>
      <w:r>
        <w:fldChar w:fldCharType="end"/>
      </w:r>
    </w:p>
    <w:p>
      <w:r>
        <w:br w:type="page"/>
      </w:r>
    </w:p>
    <w:p>
      <w:pPr>
        <w:pStyle w:val="Heading1"/>
      </w:pPr>
      <w:r>
        <w:t>1. Giriş</w:t>
      </w:r>
    </w:p>
    <w:p>
      <w:r>
        <w:t>Bu rapor Kuzey Lojistik'in 2025 mali yılı faaliyetlerini özetler.</w:t>
      </w:r>
      <w:r>
        <w:rPr>
          <w:vertAlign w:val="superscript"/>
        </w:rPr>
        <w:footnoteReference w:id="1"/>
      </w:r>
    </w:p>
    <w:p>
      <w:r>
        <w:t>Rapor finansal sonuçları, operasyonu ve 2026 önceliklerini kapsar.</w:t>
      </w:r>
    </w:p>
    <w:p>
      <w:pPr>
        <w:pStyle w:val="Heading2"/>
      </w:pPr>
      <w:r>
        <w:t>1.1 Kapsam</w:t>
      </w:r>
    </w:p>
    <w:p>
      <w:r>
        <w:t xml:space="preserve">Veri güvenliği yıl boyunca </w:t>
      </w:r>
      <w:r>
        <w:rPr>
          <w:b/>
          <w:color w:val="C00000"/>
        </w:rPr>
        <w:t>kritik</w:t>
      </w:r>
      <w:r>
        <w:t xml:space="preserve"> öncelik olarak izlendi.</w:t>
      </w:r>
    </w:p>
    <w:p>
      <w:pPr>
        <w:pStyle w:val="Heading1"/>
      </w:pPr>
      <w:r>
        <w:t>2. Finansal Sonuçlar</w:t>
      </w:r>
    </w:p>
    <w:p>
      <w:r>
        <w:t>Çeyrek bazında gelir, gider ve kâr aşağıdadır (bin TL).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vMerge w:val="restart"/>
            <w:shd w:val="clear" w:color="auto" w:fill="1F4E79"/>
          </w:tcPr>
          <w:p>
            <w:r/>
            <w:r>
              <w:rPr>
                <w:b/>
                <w:color w:val="FFFFFF"/>
              </w:rPr>
              <w:t>Çeyrek</w:t>
            </w:r>
          </w:p>
        </w:tc>
        <w:tc>
          <w:tcPr>
            <w:tcW w:type="dxa" w:w="6804"/>
            <w:gridSpan w:val="3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2025</w:t>
            </w:r>
          </w:p>
        </w:tc>
      </w:tr>
      <w:tr>
        <w:trPr>
          <w:cantSplit/>
          <w:tblHeader/>
        </w:trPr>
        <w:tc>
          <w:tcPr>
            <w:tcW w:type="dxa" w:w="2268"/>
            <w:vMerge/>
          </w:tcPr>
          <w:p/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Gelir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Gider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Kâr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/>
              <w:t>Q1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/>
              <w:t>48.200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/>
              <w:t>41.300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/>
              <w:t>6.900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/>
              <w:t>Q2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/>
              <w:t>52.700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/>
              <w:t>44.100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/>
              <w:t>8.600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/>
              <w:t>Q3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/>
              <w:t>55.900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/>
              <w:t>46.800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/>
              <w:t>9.100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/>
              <w:t>Q4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/>
              <w:t>57.700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/>
              <w:t>47.500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/>
              <w:t>10.200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b/>
              </w:rPr>
              <w:t>Toplam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</w:rPr>
              <w:t>214.500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</w:rPr>
              <w:t>179.700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</w:rPr>
              <w:t>34.800</w:t>
            </w:r>
          </w:p>
        </w:tc>
      </w:tr>
    </w:tbl>
    <w:p>
      <w:r>
        <w:drawing xmlns:a="http://schemas.openxmlformats.org/drawingml/2006/main">
          <wp:inline distT="0" distB="0" distL="0" distR="0">
            <wp:extent cx="5486400" cy="2743200"/>
            <wp:effectExtent l="0" t="0" r="0" b="0"/>
            <wp:docPr id="1" name="Gelir Grafiği"/>
            <wp:cNvGraphicFramePr/>
            <a:graphic>
              <a:graphicData uri="http://schemas.openxmlformats.org/drawingml/2006/chart">
                <c:chart xmlns:c="http://schemas.openxmlformats.org/drawingml/2006/chart" r:id="rId11"/>
              </a:graphicData>
            </a:graphic>
          </wp:inline>
        </w:drawing>
      </w:r>
    </w:p>
    <w:p>
      <w:pPr>
        <w:pStyle w:val="Caption"/>
      </w:pPr>
      <w:r>
        <w:t>Şekil 1. Çeyreklik gelir (milyon TL)</w:t>
      </w:r>
    </w:p>
    <w:p>
      <w:pPr>
        <w:pStyle w:val="Heading1"/>
      </w:pPr>
      <w:r>
        <w:t>3. Operasyon</w:t>
      </w:r>
    </w:p>
    <w:p>
      <w:r>
        <w:t>Bursa ve Konya'da iki yeni depo açıldı; teslim süresi ortalama 2,4 güne indi.</w:t>
      </w:r>
    </w:p>
    <w:p>
      <w:r>
        <w:drawing>
          <wp:inline xmlns:a="http://schemas.openxmlformats.org/drawingml/2006/main" xmlns:pic="http://schemas.openxmlformats.org/drawingml/2006/picture">
            <wp:extent cx="3240000" cy="201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Şekil 2. Bursa deposu</w:t>
      </w:r>
    </w:p>
    <w:p>
      <w:pPr>
        <w:pStyle w:val="ListBullet"/>
      </w:pPr>
      <w:r>
        <w:t>Filonun yüzde 30'u yenilendi.</w:t>
      </w:r>
    </w:p>
    <w:p>
      <w:pPr>
        <w:pStyle w:val="ListBullet"/>
      </w:pPr>
      <w:r>
        <w:t>Rota planlama yazılımı tüm bölgelerde kullanılıyor.</w:t>
      </w:r>
    </w:p>
    <w:p>
      <w:pPr>
        <w:pStyle w:val="ListBullet"/>
      </w:pPr>
      <w:r>
        <w:t>Depo doluluğu yüzde 74 oldu.</w:t>
      </w:r>
    </w:p>
    <w:p>
      <w:pPr>
        <w:pStyle w:val="Heading1"/>
      </w:pPr>
      <w:r>
        <w:t>4. Sonuç ve Öneriler</w:t>
      </w:r>
    </w:p>
    <w:p>
      <w:pPr>
        <w:spacing w:line="276" w:lineRule="auto" w:after="120"/>
        <w:ind w:firstLine="709"/>
        <w:jc w:val="both"/>
      </w:pPr>
      <w:r>
        <w:t>Şirket 2026 yılında büyümeyi sürdürmeyi, karbon salımını yüzde 10 azaltmayı ve iki yeni bölgeye açılmayı hedeflemektedir. Bu hedefler için yatırım planı ilk çeyrekte yönetim kuruluna sunulacaktır.</w:t>
      </w:r>
    </w:p>
    <w:p>
      <w:pPr>
        <w:tabs>
          <w:tab w:pos="6803" w:val="center"/>
        </w:tabs>
      </w:pPr>
      <w:r>
        <w:t>Hazırlayan</w:t>
        <w:tab/>
        <w:t>Onaylayan</w:t>
      </w:r>
    </w:p>
    <w:p>
      <w:pPr>
        <w:tabs>
          <w:tab w:pos="6803" w:val="center"/>
        </w:tabs>
      </w:pPr>
      <w:r>
        <w:t>Ayşe Demir</w:t>
        <w:tab/>
        <w:t>Mehmet Kaya</w:t>
      </w:r>
    </w:p>
    <w:p>
      <w:pPr>
        <w:tabs>
          <w:tab w:pos="6803" w:val="center"/>
        </w:tabs>
      </w:pPr>
      <w:r>
        <w:t>Strateji Müdürü</w:t>
        <w:tab/>
        <w:t>Genel Müdür</w:t>
      </w:r>
    </w:p>
    <w:p>
      <w:r>
        <w:t xml:space="preserve">Onay tarihi: </w:t>
      </w:r>
      <w:sdt>
        <w:sdtPr>
          <w:alias w:val="OnayTarihi"/>
          <w:tag w:val="OnayTarihi"/>
          <w:showingPlcHdr/>
          <w:text/>
        </w:sdtPr>
        <w:sdtContent>
          <w:r>
            <w:rPr>
              <w:color w:val="808080"/>
            </w:rPr>
            <w:t>Tarih seçin</w:t>
          </w:r>
        </w:sdtContent>
      </w:sdt>
    </w:p>
    <w:p>
      <w:pPr>
        <w:sectPr>
          <w:headerReference w:type="default" r:id="rId9"/>
          <w:footerReference w:type="default" r:id="rId10"/>
          <w:pgSz w:w="11906" w:h="16838"/>
          <w:pgMar w:top="1417" w:right="1417" w:bottom="1417" w:left="1417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5. Ek: Bölge Detayı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0"/>
        <w:gridCol w:w="1750"/>
        <w:gridCol w:w="1750"/>
        <w:gridCol w:w="1750"/>
        <w:gridCol w:w="1750"/>
        <w:gridCol w:w="1750"/>
        <w:gridCol w:w="1750"/>
        <w:gridCol w:w="1750"/>
      </w:tblGrid>
      <w:tr>
        <w:trPr>
          <w:cantSplit/>
          <w:tblHeader/>
        </w:trPr>
        <w:tc>
          <w:tcPr>
            <w:tcW w:type="dxa" w:w="1750"/>
          </w:tcPr>
          <w:p>
            <w:r/>
            <w:r>
              <w:rPr>
                <w:b/>
              </w:rPr>
              <w:t>Bölge</w:t>
            </w:r>
          </w:p>
        </w:tc>
        <w:tc>
          <w:tcPr>
            <w:tcW w:type="dxa" w:w="1750"/>
          </w:tcPr>
          <w:p>
            <w:r/>
            <w:r>
              <w:rPr>
                <w:b/>
              </w:rPr>
              <w:t>Q1</w:t>
            </w:r>
          </w:p>
        </w:tc>
        <w:tc>
          <w:tcPr>
            <w:tcW w:type="dxa" w:w="1750"/>
          </w:tcPr>
          <w:p>
            <w:r/>
            <w:r>
              <w:rPr>
                <w:b/>
              </w:rPr>
              <w:t>Q2</w:t>
            </w:r>
          </w:p>
        </w:tc>
        <w:tc>
          <w:tcPr>
            <w:tcW w:type="dxa" w:w="1750"/>
          </w:tcPr>
          <w:p>
            <w:r/>
            <w:r>
              <w:rPr>
                <w:b/>
              </w:rPr>
              <w:t>Q3</w:t>
            </w:r>
          </w:p>
        </w:tc>
        <w:tc>
          <w:tcPr>
            <w:tcW w:type="dxa" w:w="1750"/>
          </w:tcPr>
          <w:p>
            <w:r/>
            <w:r>
              <w:rPr>
                <w:b/>
              </w:rPr>
              <w:t>Q4</w:t>
            </w:r>
          </w:p>
        </w:tc>
        <w:tc>
          <w:tcPr>
            <w:tcW w:type="dxa" w:w="1750"/>
          </w:tcPr>
          <w:p>
            <w:r/>
            <w:r>
              <w:rPr>
                <w:b/>
              </w:rPr>
              <w:t>Toplam</w:t>
            </w:r>
          </w:p>
        </w:tc>
        <w:tc>
          <w:tcPr>
            <w:tcW w:type="dxa" w:w="1750"/>
          </w:tcPr>
          <w:p>
            <w:r/>
            <w:r>
              <w:rPr>
                <w:b/>
              </w:rPr>
              <w:t>Pay (%)</w:t>
            </w:r>
          </w:p>
        </w:tc>
        <w:tc>
          <w:tcPr>
            <w:tcW w:type="dxa" w:w="1750"/>
          </w:tcPr>
          <w:p>
            <w:r/>
            <w:r>
              <w:rPr>
                <w:b/>
              </w:rPr>
              <w:t>2026 Hedef</w:t>
            </w:r>
          </w:p>
        </w:tc>
      </w:tr>
      <w:tr>
        <w:tc>
          <w:tcPr>
            <w:tcW w:type="dxa" w:w="1750"/>
          </w:tcPr>
          <w:p>
            <w:r/>
            <w:r>
              <w:rPr/>
              <w:t>Marmara</w:t>
            </w:r>
          </w:p>
        </w:tc>
        <w:tc>
          <w:tcPr>
            <w:tcW w:type="dxa" w:w="1750"/>
          </w:tcPr>
          <w:p>
            <w:r/>
            <w:r>
              <w:rPr/>
              <w:t>4.120</w:t>
            </w:r>
          </w:p>
        </w:tc>
        <w:tc>
          <w:tcPr>
            <w:tcW w:type="dxa" w:w="1750"/>
          </w:tcPr>
          <w:p>
            <w:r/>
            <w:r>
              <w:rPr/>
              <w:t>4.230</w:t>
            </w:r>
          </w:p>
        </w:tc>
        <w:tc>
          <w:tcPr>
            <w:tcW w:type="dxa" w:w="1750"/>
          </w:tcPr>
          <w:p>
            <w:r/>
            <w:r>
              <w:rPr/>
              <w:t>4.310</w:t>
            </w:r>
          </w:p>
        </w:tc>
        <w:tc>
          <w:tcPr>
            <w:tcW w:type="dxa" w:w="1750"/>
          </w:tcPr>
          <w:p>
            <w:r/>
            <w:r>
              <w:rPr/>
              <w:t>4.350</w:t>
            </w:r>
          </w:p>
        </w:tc>
        <w:tc>
          <w:tcPr>
            <w:tcW w:type="dxa" w:w="1750"/>
          </w:tcPr>
          <w:p>
            <w:r/>
            <w:r>
              <w:rPr/>
              <w:t>17.010</w:t>
            </w:r>
          </w:p>
        </w:tc>
        <w:tc>
          <w:tcPr>
            <w:tcW w:type="dxa" w:w="1750"/>
          </w:tcPr>
          <w:p>
            <w:r/>
            <w:r>
              <w:rPr/>
              <w:t>35</w:t>
            </w:r>
          </w:p>
        </w:tc>
        <w:tc>
          <w:tcPr>
            <w:tcW w:type="dxa" w:w="1750"/>
          </w:tcPr>
          <w:p>
            <w:r/>
            <w:r>
              <w:rPr/>
              <w:t>17.500</w:t>
            </w:r>
          </w:p>
        </w:tc>
      </w:tr>
      <w:tr>
        <w:tc>
          <w:tcPr>
            <w:tcW w:type="dxa" w:w="1750"/>
          </w:tcPr>
          <w:p>
            <w:r/>
            <w:r>
              <w:rPr/>
              <w:t>Ege</w:t>
            </w:r>
          </w:p>
        </w:tc>
        <w:tc>
          <w:tcPr>
            <w:tcW w:type="dxa" w:w="1750"/>
          </w:tcPr>
          <w:p>
            <w:r/>
            <w:r>
              <w:rPr/>
              <w:t>2.380</w:t>
            </w:r>
          </w:p>
        </w:tc>
        <w:tc>
          <w:tcPr>
            <w:tcW w:type="dxa" w:w="1750"/>
          </w:tcPr>
          <w:p>
            <w:r/>
            <w:r>
              <w:rPr/>
              <w:t>2.410</w:t>
            </w:r>
          </w:p>
        </w:tc>
        <w:tc>
          <w:tcPr>
            <w:tcW w:type="dxa" w:w="1750"/>
          </w:tcPr>
          <w:p>
            <w:r/>
            <w:r>
              <w:rPr/>
              <w:t>2.450</w:t>
            </w:r>
          </w:p>
        </w:tc>
        <w:tc>
          <w:tcPr>
            <w:tcW w:type="dxa" w:w="1750"/>
          </w:tcPr>
          <w:p>
            <w:r/>
            <w:r>
              <w:rPr/>
              <w:t>2.480</w:t>
            </w:r>
          </w:p>
        </w:tc>
        <w:tc>
          <w:tcPr>
            <w:tcW w:type="dxa" w:w="1750"/>
          </w:tcPr>
          <w:p>
            <w:r/>
            <w:r>
              <w:rPr/>
              <w:t>9.720</w:t>
            </w:r>
          </w:p>
        </w:tc>
        <w:tc>
          <w:tcPr>
            <w:tcW w:type="dxa" w:w="1750"/>
          </w:tcPr>
          <w:p>
            <w:r/>
            <w:r>
              <w:rPr/>
              <w:t>20</w:t>
            </w:r>
          </w:p>
        </w:tc>
        <w:tc>
          <w:tcPr>
            <w:tcW w:type="dxa" w:w="1750"/>
          </w:tcPr>
          <w:p>
            <w:r/>
            <w:r>
              <w:rPr/>
              <w:t>10.000</w:t>
            </w:r>
          </w:p>
        </w:tc>
      </w:tr>
      <w:tr>
        <w:tc>
          <w:tcPr>
            <w:tcW w:type="dxa" w:w="1750"/>
          </w:tcPr>
          <w:p>
            <w:r/>
            <w:r>
              <w:rPr/>
              <w:t>İç Anadolu</w:t>
            </w:r>
          </w:p>
        </w:tc>
        <w:tc>
          <w:tcPr>
            <w:tcW w:type="dxa" w:w="1750"/>
          </w:tcPr>
          <w:p>
            <w:r/>
            <w:r>
              <w:rPr/>
              <w:t>2.120</w:t>
            </w:r>
          </w:p>
        </w:tc>
        <w:tc>
          <w:tcPr>
            <w:tcW w:type="dxa" w:w="1750"/>
          </w:tcPr>
          <w:p>
            <w:r/>
            <w:r>
              <w:rPr/>
              <w:t>2.170</w:t>
            </w:r>
          </w:p>
        </w:tc>
        <w:tc>
          <w:tcPr>
            <w:tcW w:type="dxa" w:w="1750"/>
          </w:tcPr>
          <w:p>
            <w:r/>
            <w:r>
              <w:rPr/>
              <w:t>2.210</w:t>
            </w:r>
          </w:p>
        </w:tc>
        <w:tc>
          <w:tcPr>
            <w:tcW w:type="dxa" w:w="1750"/>
          </w:tcPr>
          <w:p>
            <w:r/>
            <w:r>
              <w:rPr/>
              <w:t>2.248</w:t>
            </w:r>
          </w:p>
        </w:tc>
        <w:tc>
          <w:tcPr>
            <w:tcW w:type="dxa" w:w="1750"/>
          </w:tcPr>
          <w:p>
            <w:r/>
            <w:r>
              <w:rPr/>
              <w:t>8.748</w:t>
            </w:r>
          </w:p>
        </w:tc>
        <w:tc>
          <w:tcPr>
            <w:tcW w:type="dxa" w:w="1750"/>
          </w:tcPr>
          <w:p>
            <w:r/>
            <w:r>
              <w:rPr/>
              <w:t>18</w:t>
            </w:r>
          </w:p>
        </w:tc>
        <w:tc>
          <w:tcPr>
            <w:tcW w:type="dxa" w:w="1750"/>
          </w:tcPr>
          <w:p>
            <w:r/>
            <w:r>
              <w:rPr/>
              <w:t>9.000</w:t>
            </w:r>
          </w:p>
        </w:tc>
      </w:tr>
      <w:tr>
        <w:tc>
          <w:tcPr>
            <w:tcW w:type="dxa" w:w="1750"/>
          </w:tcPr>
          <w:p>
            <w:r/>
            <w:r>
              <w:rPr/>
              <w:t>Akdeniz</w:t>
            </w:r>
          </w:p>
        </w:tc>
        <w:tc>
          <w:tcPr>
            <w:tcW w:type="dxa" w:w="1750"/>
          </w:tcPr>
          <w:p>
            <w:r/>
            <w:r>
              <w:rPr/>
              <w:t>1.900</w:t>
            </w:r>
          </w:p>
        </w:tc>
        <w:tc>
          <w:tcPr>
            <w:tcW w:type="dxa" w:w="1750"/>
          </w:tcPr>
          <w:p>
            <w:r/>
            <w:r>
              <w:rPr/>
              <w:t>1.930</w:t>
            </w:r>
          </w:p>
        </w:tc>
        <w:tc>
          <w:tcPr>
            <w:tcW w:type="dxa" w:w="1750"/>
          </w:tcPr>
          <w:p>
            <w:r/>
            <w:r>
              <w:rPr/>
              <w:t>1.960</w:t>
            </w:r>
          </w:p>
        </w:tc>
        <w:tc>
          <w:tcPr>
            <w:tcW w:type="dxa" w:w="1750"/>
          </w:tcPr>
          <w:p>
            <w:r/>
            <w:r>
              <w:rPr/>
              <w:t>1.986</w:t>
            </w:r>
          </w:p>
        </w:tc>
        <w:tc>
          <w:tcPr>
            <w:tcW w:type="dxa" w:w="1750"/>
          </w:tcPr>
          <w:p>
            <w:r/>
            <w:r>
              <w:rPr/>
              <w:t>7.776</w:t>
            </w:r>
          </w:p>
        </w:tc>
        <w:tc>
          <w:tcPr>
            <w:tcW w:type="dxa" w:w="1750"/>
          </w:tcPr>
          <w:p>
            <w:r/>
            <w:r>
              <w:rPr/>
              <w:t>16</w:t>
            </w:r>
          </w:p>
        </w:tc>
        <w:tc>
          <w:tcPr>
            <w:tcW w:type="dxa" w:w="1750"/>
          </w:tcPr>
          <w:p>
            <w:r/>
            <w:r>
              <w:rPr/>
              <w:t>8.000</w:t>
            </w:r>
          </w:p>
        </w:tc>
      </w:tr>
      <w:tr>
        <w:tc>
          <w:tcPr>
            <w:tcW w:type="dxa" w:w="1750"/>
          </w:tcPr>
          <w:p>
            <w:r/>
            <w:r>
              <w:rPr/>
              <w:t>Karadeniz</w:t>
            </w:r>
          </w:p>
        </w:tc>
        <w:tc>
          <w:tcPr>
            <w:tcW w:type="dxa" w:w="1750"/>
          </w:tcPr>
          <w:p>
            <w:r/>
            <w:r>
              <w:rPr/>
              <w:t>1.300</w:t>
            </w:r>
          </w:p>
        </w:tc>
        <w:tc>
          <w:tcPr>
            <w:tcW w:type="dxa" w:w="1750"/>
          </w:tcPr>
          <w:p>
            <w:r/>
            <w:r>
              <w:rPr/>
              <w:t>1.320</w:t>
            </w:r>
          </w:p>
        </w:tc>
        <w:tc>
          <w:tcPr>
            <w:tcW w:type="dxa" w:w="1750"/>
          </w:tcPr>
          <w:p>
            <w:r/>
            <w:r>
              <w:rPr/>
              <w:t>1.350</w:t>
            </w:r>
          </w:p>
        </w:tc>
        <w:tc>
          <w:tcPr>
            <w:tcW w:type="dxa" w:w="1750"/>
          </w:tcPr>
          <w:p>
            <w:r/>
            <w:r>
              <w:rPr/>
              <w:t>1.376</w:t>
            </w:r>
          </w:p>
        </w:tc>
        <w:tc>
          <w:tcPr>
            <w:tcW w:type="dxa" w:w="1750"/>
          </w:tcPr>
          <w:p>
            <w:r/>
            <w:r>
              <w:rPr/>
              <w:t>5.346</w:t>
            </w:r>
          </w:p>
        </w:tc>
        <w:tc>
          <w:tcPr>
            <w:tcW w:type="dxa" w:w="1750"/>
          </w:tcPr>
          <w:p>
            <w:r/>
            <w:r>
              <w:rPr/>
              <w:t>11</w:t>
            </w:r>
          </w:p>
        </w:tc>
        <w:tc>
          <w:tcPr>
            <w:tcW w:type="dxa" w:w="1750"/>
          </w:tcPr>
          <w:p>
            <w:r/>
            <w:r>
              <w:rPr/>
              <w:t>6.000</w:t>
            </w:r>
          </w:p>
        </w:tc>
      </w:tr>
    </w:tbl>
    <w:sectPr w:rsidR="00FC693F" w:rsidRPr="0006063C" w:rsidSect="00034616">
      <w:pgSz w:w="16838" w:h="11906" w:orient="landscape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Sayfa </w:t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spacing w:after="0"/>
      </w:pPr>
      <w:r>
        <w:rPr>
          <w:vertAlign w:val="superscript"/>
        </w:rPr>
        <w:footnoteRef/>
      </w:r>
      <w:r>
        <w:rPr>
          <w:sz w:val="18"/>
        </w:rPr>
        <w:t xml:space="preserve"> Mali yıl 1 Ocak – 31 Aralık 2025 dönemidir.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80000" cy="315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315000"/>
                  </a:xfrm>
                  <a:prstGeom prst="rect"/>
                </pic:spPr>
              </pic:pic>
            </a:graphicData>
          </a:graphic>
        </wp:inline>
      </w:drawing>
    </w:r>
    <w:r>
      <w:rPr>
        <w:sz w:val="16"/>
      </w:rPr>
      <w:tab/>
      <w:t>Kuzey Lojistik A.Ş. · Belge No: KL-RPR-2025-014 · Gizlilik: Şirket İçi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hart" Target="charts/chart1.xml"/><Relationship Id="rId12" Type="http://schemas.openxmlformats.org/officeDocument/2006/relationships/image" Target="media/image2.png"/><Relationship Id="rId13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Gelir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48.2</c:v>
                </c:pt>
                <c:pt idx="1">
                  <c:v>52.7</c:v>
                </c:pt>
                <c:pt idx="2">
                  <c:v>55.9</c:v>
                </c:pt>
                <c:pt idx="3">
                  <c:v>57.7</c:v>
                </c:pt>
              </c:numCache>
            </c:numRef>
          </c:val>
        </c:ser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/>
        <c:delete val="0"/>
        <c:axPos val="l"/>
        <c:majorGridlines/>
        <c:majorTickMark val="out"/>
        <c:minorTickMark val="none"/>
        <c:tickLblPos val="nextTo"/>
        <c:crossAx val="-2068027336"/>
        <c:crosses val="autoZero"/>
      </c:valAx>
    </c:plotArea>
    <c:dispBlanksAs val="gap"/>
  </c:chart>
  <c:txPr>
    <a:bodyPr/>
    <a:lstStyle/>
    <a:p>
      <a:pPr>
        <a:defRPr sz="1800"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 Yıllık Faaliyet Raporu</dc:title>
  <dc:subject>Faaliyet Raporu</dc:subject>
  <dc:creator>Kuzey Lojistik Strateji Ofisi</dc:creator>
  <cp:keywords>faaliyet; 2025; lojistik</cp:keywords>
  <dc:description>generated by python-docx</dc:description>
  <cp:lastModifiedBy/>
  <cp:revision>1</cp:revision>
  <dcterms:created xsi:type="dcterms:W3CDTF">2026-01-15T09:00:00Z</dcterms:created>
  <dcterms:modified xsi:type="dcterms:W3CDTF">2013-12-23T23:15:00Z</dcterms:modified>
  <cp:category/>
</cp:coreProperties>
</file>