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Yapay Zekâ Raporu</w:t>
      </w:r>
    </w:p>
    <w:p>
      <w:pPr>
        <w:pStyle w:val="Heading1"/>
      </w:pPr>
      <w:r>
        <w:t>1. Giriş</w:t>
      </w:r>
    </w:p>
    <w:p>
      <w:r>
        <w:t>Bu rapor, kurumda yapay zekâ kullanımının mevcut durumunu özetler.</w:t>
      </w:r>
    </w:p>
    <w:p>
      <w:r>
        <w:drawing>
          <wp:inline xmlns:a="http://schemas.openxmlformats.org/drawingml/2006/main" xmlns:pic="http://schemas.openxmlformats.org/drawingml/2006/picture">
            <wp:extent cx="2880000" cy="1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Yöntem</w:t>
      </w:r>
    </w:p>
    <w:p>
      <w:r>
        <w:t>Veriler anket ve sistem kayıtlarından toplandı.</w:t>
      </w:r>
    </w:p>
    <w:p>
      <w:pPr>
        <w:pStyle w:val="Heading2"/>
      </w:pPr>
      <w:r>
        <w:t>2.1 Veri Kaynakları</w:t>
      </w:r>
    </w:p>
    <w:p>
      <w:r>
        <w:t>Üç kaynak kullanıldı: anket, ticket kayıtları ve kullanım günlükleri.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Kaynak</w:t>
            </w:r>
          </w:p>
        </w:tc>
        <w:tc>
          <w:tcPr>
            <w:tcW w:type="dxa" w:w="4703"/>
          </w:tcPr>
          <w:p>
            <w:r>
              <w:t>Kayıt sayısı</w:t>
            </w:r>
          </w:p>
        </w:tc>
      </w:tr>
      <w:tr>
        <w:tc>
          <w:tcPr>
            <w:tcW w:type="dxa" w:w="4703"/>
          </w:tcPr>
          <w:p>
            <w:r>
              <w:t>Anket</w:t>
            </w:r>
          </w:p>
        </w:tc>
        <w:tc>
          <w:tcPr>
            <w:tcW w:type="dxa" w:w="4703"/>
          </w:tcPr>
          <w:p>
            <w:r>
              <w:t>1.240</w:t>
            </w:r>
          </w:p>
        </w:tc>
      </w:tr>
      <w:tr>
        <w:tc>
          <w:tcPr>
            <w:tcW w:type="dxa" w:w="4703"/>
          </w:tcPr>
          <w:p>
            <w:r>
              <w:t>Ticket kayıtları</w:t>
            </w:r>
          </w:p>
        </w:tc>
        <w:tc>
          <w:tcPr>
            <w:tcW w:type="dxa" w:w="4703"/>
          </w:tcPr>
          <w:p>
            <w:r>
              <w:t>5.870</w:t>
            </w:r>
          </w:p>
        </w:tc>
      </w:tr>
    </w:tbl>
    <w:p>
      <w:pPr>
        <w:pStyle w:val="Heading1"/>
      </w:pPr>
      <w:r>
        <w:t>3. Bulgular</w:t>
      </w:r>
    </w:p>
    <w:p>
      <w:r>
        <w:t xml:space="preserve">Kullanım artıyor; ancak veri güvenliği konusunda </w:t>
      </w:r>
      <w:r>
        <w:rPr>
          <w:b/>
          <w:color w:val="C00000"/>
        </w:rPr>
        <w:t>kritik</w:t>
      </w:r>
      <w:r>
        <w:t xml:space="preserve"> bir eksik var.</w:t>
      </w:r>
    </w:p>
    <w:p>
      <w:r>
        <w:drawing>
          <wp:inline xmlns:a="http://schemas.openxmlformats.org/drawingml/2006/main" xmlns:pic="http://schemas.openxmlformats.org/drawingml/2006/picture">
            <wp:extent cx="3240000" cy="17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Sonuç</w:t>
      </w:r>
    </w:p>
    <w:p>
      <w:r>
        <w:t>Kurumsal bir yönetişim çerçevesi önerilir.</w:t>
      </w:r>
    </w:p>
    <w:p>
      <w:r>
        <w:drawing>
          <wp:inline xmlns:a="http://schemas.openxmlformats.org/drawingml/2006/main" xmlns:pic="http://schemas.openxmlformats.org/drawingml/2006/picture">
            <wp:extent cx="2520000" cy="1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Sayfa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Yapay Zekâ Raporu — Dahili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