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A2EB0" w:rsidR="00AA2EB0" w:rsidP="462A9989" w:rsidRDefault="00AA2EB0" wp14:textId="77777777" w14:paraId="4A3E5FAF">
      <w:pPr>
        <w:jc w:val="center"/>
        <w:rPr>
          <w:rFonts w:ascii="Arial" w:hAnsi="Arial" w:cs="Arial"/>
          <w:b w:val="1"/>
          <w:bCs w:val="1"/>
          <w:color w:val="auto"/>
          <w:sz w:val="28"/>
          <w:szCs w:val="28"/>
        </w:rPr>
      </w:pPr>
      <w:proofErr w:type="spellStart"/>
      <w:r w:rsidRPr="462A9989">
        <w:rPr>
          <w:rFonts w:ascii="Arial" w:hAnsi="Arial" w:cs="Arial"/>
          <w:b w:val="1"/>
          <w:bCs w:val="1"/>
          <w:color w:val="auto"/>
          <w:sz w:val="28"/>
          <w:szCs w:val="28"/>
          <w:shd w:val="clear" w:color="auto" w:fill="FFFFFF"/>
        </w:rPr>
        <w:t>Wait</w:t>
      </w:r>
      <w:proofErr w:type="spellEnd"/>
      <w:r w:rsidRPr="462A9989">
        <w:rPr>
          <w:rFonts w:ascii="Arial" w:hAnsi="Arial" w:cs="Arial"/>
          <w:b w:val="1"/>
          <w:bCs w:val="1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462A9989">
        <w:rPr>
          <w:rFonts w:ascii="Arial" w:hAnsi="Arial" w:cs="Arial"/>
          <w:b w:val="1"/>
          <w:bCs w:val="1"/>
          <w:color w:val="auto"/>
          <w:sz w:val="28"/>
          <w:szCs w:val="28"/>
          <w:shd w:val="clear" w:color="auto" w:fill="FFFFFF"/>
        </w:rPr>
        <w:t>Events</w:t>
      </w:r>
      <w:proofErr w:type="spellEnd"/>
      <w:r w:rsidRPr="462A9989">
        <w:rPr>
          <w:rFonts w:ascii="Arial" w:hAnsi="Arial" w:cs="Arial"/>
          <w:b w:val="1"/>
          <w:bCs w:val="1"/>
          <w:color w:val="auto"/>
          <w:sz w:val="28"/>
          <w:szCs w:val="28"/>
          <w:shd w:val="clear" w:color="auto" w:fill="FFFFFF"/>
        </w:rPr>
        <w:t xml:space="preserve"> (Eventos de Espera)</w:t>
      </w:r>
    </w:p>
    <w:p w:rsidR="462A9989" w:rsidP="462A9989" w:rsidRDefault="462A9989" w14:paraId="0D8D6C7E" w14:textId="392E4B99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R="00AA2EB0" w:rsidP="462A9989" w:rsidRDefault="00AA2EB0" w14:paraId="672A6659" wp14:textId="282A6559">
      <w:pPr>
        <w:rPr>
          <w:rFonts w:ascii="Arial" w:hAnsi="Arial" w:cs="Arial"/>
          <w:b w:val="1"/>
          <w:bCs w:val="1"/>
          <w:color w:val="auto"/>
          <w:sz w:val="24"/>
          <w:szCs w:val="24"/>
          <w:shd w:val="clear" w:color="auto" w:fill="FFFFFF"/>
        </w:rPr>
      </w:pPr>
      <w:r w:rsidRPr="462A9989" w:rsidR="462A9989">
        <w:rPr>
          <w:rFonts w:ascii="Arial" w:hAnsi="Arial" w:cs="Arial"/>
          <w:b w:val="1"/>
          <w:bCs w:val="1"/>
          <w:color w:val="auto"/>
          <w:sz w:val="24"/>
          <w:szCs w:val="24"/>
        </w:rPr>
        <w:t>Definição</w:t>
      </w:r>
    </w:p>
    <w:p xmlns:wp14="http://schemas.microsoft.com/office/word/2010/wordml" w:rsidRPr="00AA2EB0" w:rsidR="00EF5E84" w:rsidP="462A9989" w:rsidRDefault="00DD4F2E" w14:paraId="2CE2FE09" wp14:textId="775C5F89">
      <w:pPr>
        <w:rPr>
          <w:rFonts w:ascii="Arial" w:hAnsi="Arial" w:cs="Arial"/>
          <w:color w:val="auto"/>
          <w:sz w:val="24"/>
          <w:szCs w:val="24"/>
        </w:rPr>
      </w:pPr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Os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Wait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Events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permitem ao DBA visualizar onde o SGBD gasta mais tempo para que o processamento das transações seja concluído.</w:t>
      </w:r>
    </w:p>
    <w:p xmlns:wp14="http://schemas.microsoft.com/office/word/2010/wordml" w:rsidRPr="00AA2EB0" w:rsidR="00EF5E84" w:rsidP="462A9989" w:rsidRDefault="00DD4F2E" w14:paraId="0CBA889C" wp14:textId="5E38D59C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462A9989">
        <w:rPr>
          <w:rFonts w:ascii="Arial" w:hAnsi="Arial" w:cs="Arial"/>
          <w:b w:val="1"/>
          <w:bCs w:val="1"/>
          <w:color w:val="auto"/>
          <w:sz w:val="24"/>
          <w:szCs w:val="24"/>
          <w:shd w:val="clear" w:color="auto" w:fill="FFFFFF"/>
        </w:rPr>
        <w:t xml:space="preserve">Vantagens</w:t>
      </w:r>
    </w:p>
    <w:p xmlns:wp14="http://schemas.microsoft.com/office/word/2010/wordml" w:rsidRPr="00AA2EB0" w:rsidR="00EF5E84" w:rsidP="462A9989" w:rsidRDefault="00DD4F2E" w14:paraId="7DDFD459" wp14:textId="77777777">
      <w:pPr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Com eles podemos identificar os gargalos de espera que incidiram desde o início ao término de um processo, incluindo esperas por operações de I/O,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locks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, network, dentre outros. Com estes dados será possível propor melhoria em geral para o sistema dando direcionamento para uma solução ou redução do impacto causado pelo gargalo de espera.</w:t>
      </w:r>
    </w:p>
    <w:p w:rsidR="462A9989" w:rsidP="462A9989" w:rsidRDefault="462A9989" w14:paraId="23487A90" w14:textId="3221E9B5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462A9989" w:rsidR="462A9989">
        <w:rPr>
          <w:rFonts w:ascii="Arial" w:hAnsi="Arial" w:cs="Arial"/>
          <w:b w:val="1"/>
          <w:bCs w:val="1"/>
          <w:color w:val="auto"/>
          <w:sz w:val="24"/>
          <w:szCs w:val="24"/>
        </w:rPr>
        <w:t>Observações</w:t>
      </w:r>
    </w:p>
    <w:p xmlns:wp14="http://schemas.microsoft.com/office/word/2010/wordml" w:rsidRPr="00AA2EB0" w:rsidR="00DD4F2E" w:rsidP="462A9989" w:rsidRDefault="00DD4F2E" wp14:textId="77777777" w14:paraId="3EF920EA">
      <w:pPr>
        <w:jc w:val="left"/>
        <w:rPr>
          <w:rFonts w:ascii="Arial" w:hAnsi="Arial" w:cs="Arial"/>
          <w:color w:val="auto"/>
          <w:sz w:val="24"/>
          <w:szCs w:val="24"/>
        </w:rPr>
      </w:pPr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Os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wait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events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ficam armazenados em tabelas temporárias ou dinâmicas no próprio banco de dados.  Os conteúdos são repovoados começando na inicialização do servidor e descartados no desligamento do servidor.</w:t>
      </w:r>
    </w:p>
    <w:p xmlns:wp14="http://schemas.microsoft.com/office/word/2010/wordml" w:rsidRPr="00AA2EB0" w:rsidR="00DD4F2E" w:rsidP="462A9989" w:rsidRDefault="00DD4F2E" wp14:textId="77777777" w14:paraId="5DB8CF74">
      <w:pPr>
        <w:jc w:val="left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As esperas são classificadas de acordo com o que o SGBD está esperando. Cada tipo de espera é </w:t>
      </w:r>
      <w:proofErr w:type="gram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representada</w:t>
      </w:r>
      <w:proofErr w:type="gram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por um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wait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type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.  Desta forma, analisando quais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wait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>types</w:t>
      </w:r>
      <w:proofErr w:type="spellEnd"/>
      <w:r w:rsidRPr="462A998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estão causando maior quantidade de esperas ou por tempo mais longo, podemos identificar problemas no servidor de banco de dados.</w:t>
      </w:r>
    </w:p>
    <w:p w:rsidR="462A9989" w:rsidP="462A9989" w:rsidRDefault="462A9989" w14:paraId="0CA26C86" w14:textId="49B9F747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462A9989" w:rsidP="462A9989" w:rsidRDefault="462A9989" w14:paraId="2185A915" w14:textId="178A86E8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462A9989" w:rsidP="462A9989" w:rsidRDefault="462A9989" w14:paraId="64E143CA" w14:textId="6DF86944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="462A9989" w:rsidP="462A9989" w:rsidRDefault="462A9989" w14:paraId="0D01D555" w14:textId="4760754C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RPr="00AA2EB0" w:rsidR="000304F6" w:rsidP="462A9989" w:rsidRDefault="000304F6" w14:paraId="5BC3BAA0" wp14:textId="77777777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462A9989" w:rsidR="462A9989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Exemplo de verificação dos Waits </w:t>
      </w:r>
      <w:proofErr w:type="spellStart"/>
      <w:r w:rsidRPr="462A9989" w:rsidR="462A9989">
        <w:rPr>
          <w:rFonts w:ascii="Arial" w:hAnsi="Arial" w:cs="Arial"/>
          <w:b w:val="1"/>
          <w:bCs w:val="1"/>
          <w:color w:val="auto"/>
          <w:sz w:val="24"/>
          <w:szCs w:val="24"/>
        </w:rPr>
        <w:t>Events</w:t>
      </w:r>
      <w:proofErr w:type="spellEnd"/>
      <w:r w:rsidRPr="462A9989" w:rsidR="462A9989">
        <w:rPr>
          <w:rFonts w:ascii="Arial" w:hAnsi="Arial" w:cs="Arial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R="00F5062F" w:rsidP="00F5062F" w:rsidRDefault="00AA2EB0" w14:paraId="23B7034B" wp14:textId="77777777">
      <w:pPr>
        <w:rPr>
          <w:rFonts w:ascii="Consolas" w:hAnsi="Consolas" w:cs="Consolas"/>
          <w:color w:val="000000"/>
          <w:sz w:val="19"/>
          <w:szCs w:val="19"/>
        </w:rPr>
      </w:pPr>
      <w:r w:rsidRPr="00AA2EB0">
        <w:rPr>
          <w:rFonts w:ascii="Arial" w:hAnsi="Arial" w:cs="Arial"/>
          <w:color w:val="0000FF"/>
          <w:sz w:val="24"/>
          <w:szCs w:val="24"/>
        </w:rPr>
        <w:t>SELECT</w:t>
      </w:r>
      <w:r w:rsidRPr="00AA2E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2EB0">
        <w:rPr>
          <w:rFonts w:ascii="Arial" w:hAnsi="Arial" w:cs="Arial"/>
          <w:color w:val="808080"/>
          <w:sz w:val="24"/>
          <w:szCs w:val="24"/>
        </w:rPr>
        <w:t>*</w:t>
      </w:r>
      <w:r w:rsidRPr="00AA2EB0">
        <w:rPr>
          <w:rFonts w:ascii="Arial" w:hAnsi="Arial" w:cs="Arial"/>
          <w:color w:val="0000FF"/>
          <w:sz w:val="24"/>
          <w:szCs w:val="24"/>
        </w:rPr>
        <w:t>FROM</w:t>
      </w:r>
      <w:r w:rsidRPr="00AA2E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A2EB0">
        <w:rPr>
          <w:rFonts w:ascii="Arial" w:hAnsi="Arial" w:cs="Arial"/>
          <w:color w:val="00FF00"/>
          <w:sz w:val="24"/>
          <w:szCs w:val="24"/>
        </w:rPr>
        <w:t>sys</w:t>
      </w:r>
      <w:r w:rsidRPr="00AA2EB0">
        <w:rPr>
          <w:rFonts w:ascii="Arial" w:hAnsi="Arial" w:cs="Arial"/>
          <w:color w:val="808080"/>
          <w:sz w:val="24"/>
          <w:szCs w:val="24"/>
        </w:rPr>
        <w:t>.</w:t>
      </w:r>
      <w:r w:rsidRPr="00AA2EB0">
        <w:rPr>
          <w:rFonts w:ascii="Arial" w:hAnsi="Arial" w:cs="Arial"/>
          <w:color w:val="00FF00"/>
          <w:sz w:val="24"/>
          <w:szCs w:val="24"/>
        </w:rPr>
        <w:t>dm_os_wait_</w:t>
      </w:r>
      <w:r w:rsidRPr="00AA2EB0">
        <w:rPr>
          <w:rFonts w:ascii="Arial" w:hAnsi="Arial" w:cs="Arial"/>
          <w:color w:val="00FF00"/>
          <w:sz w:val="24"/>
          <w:szCs w:val="24"/>
        </w:rPr>
        <w:t>stats</w:t>
      </w:r>
      <w:proofErr w:type="spellEnd"/>
      <w:r w:rsidRPr="00AA2E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2EB0">
        <w:rPr>
          <w:rFonts w:ascii="Arial" w:hAnsi="Arial" w:cs="Arial"/>
          <w:color w:val="0000FF"/>
          <w:sz w:val="24"/>
          <w:szCs w:val="24"/>
        </w:rPr>
        <w:t>ORDER</w:t>
      </w:r>
      <w:r w:rsidRPr="00AA2E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2EB0">
        <w:rPr>
          <w:rFonts w:ascii="Arial" w:hAnsi="Arial" w:cs="Arial"/>
          <w:color w:val="0000FF"/>
          <w:sz w:val="24"/>
          <w:szCs w:val="24"/>
        </w:rPr>
        <w:t>BY</w:t>
      </w:r>
      <w:r w:rsidRPr="00AA2E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A2EB0">
        <w:rPr>
          <w:rFonts w:ascii="Arial" w:hAnsi="Arial" w:cs="Arial"/>
          <w:color w:val="000000"/>
          <w:sz w:val="24"/>
          <w:szCs w:val="24"/>
        </w:rPr>
        <w:t>wait_time_ms</w:t>
      </w:r>
      <w:proofErr w:type="spellEnd"/>
      <w:r w:rsidRPr="00AA2E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2EB0">
        <w:rPr>
          <w:rFonts w:ascii="Arial" w:hAnsi="Arial" w:cs="Arial"/>
          <w:color w:val="0000FF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0304F6">
        <w:rPr>
          <w:rFonts w:ascii="Consolas" w:hAnsi="Consolas" w:cs="Consolas"/>
          <w:color w:val="000000"/>
          <w:sz w:val="19"/>
          <w:szCs w:val="19"/>
        </w:rPr>
        <w:tab/>
      </w:r>
    </w:p>
    <w:p xmlns:wp14="http://schemas.microsoft.com/office/word/2010/wordml" w:rsidR="00F5062F" w:rsidP="00F5062F" w:rsidRDefault="00F5062F" w14:paraId="0A37501D" wp14:textId="77777777">
      <w:pPr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F5062F" w:rsidP="00F5062F" w:rsidRDefault="00F5062F" w14:paraId="5DAB6C7B" wp14:textId="77777777">
      <w:pPr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Pr="00F5062F" w:rsidR="00F5062F" w:rsidP="00F5062F" w:rsidRDefault="000304F6" w14:paraId="0DFAE634" wp14:textId="7777777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F5062F" w:rsidR="00F5062F">
        <w:rPr>
          <w:rFonts w:ascii="Arial" w:hAnsi="Arial" w:cs="Arial"/>
          <w:noProof/>
          <w:color w:val="000000" w:themeColor="text1"/>
          <w:sz w:val="24"/>
          <w:szCs w:val="24"/>
          <w:bdr w:val="none" w:color="auto" w:sz="0" w:space="0" w:frame="1"/>
        </w:rPr>
        <w:drawing>
          <wp:inline xmlns:wp14="http://schemas.microsoft.com/office/word/2010/wordprocessingDrawing" distT="0" distB="0" distL="0" distR="0" wp14:anchorId="5402BDA6" wp14:editId="7777777">
            <wp:extent cx="6697980" cy="6278880"/>
            <wp:effectExtent l="0" t="0" r="7620" b="7620"/>
            <wp:docPr id="1" name="Imagem 1" descr="https://www.dirceuresende.com/wp-content/uploads/2018/07/SQL-Server-Como-identificar-uma-query-lenta-ou-pesada-no-seu-banco-de-dados-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irceuresende.com/wp-content/uploads/2018/07/SQL-Server-Como-identificar-uma-query-lenta-ou-pesada-no-seu-banco-de-dados-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5062F" w:rsidR="00F5062F" w:rsidP="462A9989" w:rsidRDefault="00F5062F" w14:paraId="7E42F849" wp14:textId="77777777">
      <w:pPr>
        <w:pStyle w:val="swift-in-viewport"/>
        <w:spacing w:before="0" w:beforeAutospacing="off" w:after="480" w:afterAutospacing="off"/>
        <w:textAlignment w:val="baseline"/>
        <w:rPr>
          <w:rFonts w:ascii="Arial" w:hAnsi="Arial" w:cs="Arial"/>
          <w:color w:val="auto" w:themeColor="text1"/>
        </w:rPr>
      </w:pPr>
      <w:r w:rsidRPr="462A9989" w:rsidR="462A9989">
        <w:rPr>
          <w:rFonts w:ascii="Arial" w:hAnsi="Arial" w:cs="Arial"/>
          <w:color w:val="auto"/>
        </w:rPr>
        <w:t xml:space="preserve">Essa consulta vai apresentar quais os eventos de </w:t>
      </w:r>
      <w:proofErr w:type="spellStart"/>
      <w:r w:rsidRPr="462A9989" w:rsidR="462A9989">
        <w:rPr>
          <w:rFonts w:ascii="Arial" w:hAnsi="Arial" w:cs="Arial"/>
          <w:color w:val="auto"/>
        </w:rPr>
        <w:t>waiting</w:t>
      </w:r>
      <w:proofErr w:type="spellEnd"/>
      <w:r w:rsidRPr="462A9989" w:rsidR="462A9989">
        <w:rPr>
          <w:rFonts w:ascii="Arial" w:hAnsi="Arial" w:cs="Arial"/>
          <w:color w:val="auto"/>
        </w:rPr>
        <w:t xml:space="preserve"> que mais demandaram tempo, ou seja, vai avaliar entre tudo o que foi executado na instância, o que mais fez essas consultas aguardarem recursos, seja disco, CPU, memória, rede, etc. Isso é muito útil para identificar onde está o nosso maior gargalo de processamento.</w:t>
      </w:r>
      <w:bookmarkStart w:name="_GoBack" w:id="0"/>
      <w:bookmarkEnd w:id="0"/>
    </w:p>
    <w:p xmlns:wp14="http://schemas.microsoft.com/office/word/2010/wordml" w:rsidRPr="00DD4F2E" w:rsidR="00F5062F" w:rsidP="000304F6" w:rsidRDefault="00F5062F" w14:paraId="02EB378F" wp14:textId="77777777"/>
    <w:sectPr w:rsidRPr="00DD4F2E" w:rsidR="00F5062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4"/>
    <w:rsid w:val="000304F6"/>
    <w:rsid w:val="00AA2EB0"/>
    <w:rsid w:val="00DD4F2E"/>
    <w:rsid w:val="00EF5E84"/>
    <w:rsid w:val="00F5062F"/>
    <w:rsid w:val="462A9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479C"/>
  <w15:chartTrackingRefBased/>
  <w15:docId w15:val="{92AC31CD-D5D4-4CC9-86D7-E2D0FB3C9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wift-in-viewport" w:customStyle="1">
    <w:name w:val="swift-in-viewport"/>
    <w:basedOn w:val="Normal"/>
    <w:rsid w:val="00F506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hyperlink" Target="https://www.dirceuresende.com/wp-content/uploads/2018/07/SQL-Server-Como-identificar-uma-query-lenta-ou-pesada-no-seu-banco-de-dados-1.png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Victor Cecilio</dc:creator>
  <keywords/>
  <dc:description/>
  <lastModifiedBy>Pedro Victor</lastModifiedBy>
  <revision>3</revision>
  <dcterms:created xsi:type="dcterms:W3CDTF">2020-02-04T12:55:00.0000000Z</dcterms:created>
  <dcterms:modified xsi:type="dcterms:W3CDTF">2020-02-05T00:21:14.8680300Z</dcterms:modified>
</coreProperties>
</file>