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Stil Kontrol Dokümanı — Berna Aksoy / Perimenopozda İlk İşaretler</w:t>
      </w:r>
    </w:p>
    <w:p>
      <w:pPr>
        <w:ind w:left="360"/>
      </w:pPr>
      <w:r>
        <w:rPr>
          <w:b/>
        </w:rPr>
        <w:t>Makale:</w:t>
      </w:r>
      <w:r>
        <w:t xml:space="preserve"> "Perimenopozda İlk İşaretler: “Bende Bir Şey Değişiyor” Dedirten Dönem"</w:t>
      </w:r>
    </w:p>
    <w:p>
      <w:pPr>
        <w:ind w:left="360"/>
      </w:pPr>
      <w:r>
        <w:rPr>
          <w:b/>
        </w:rPr>
        <w:t>Slug:</w:t>
      </w:r>
      <w:r>
        <w:t xml:space="preserve"> </w:t>
      </w:r>
      <w:r>
        <w:rPr>
          <w:rFonts w:ascii="Consolas" w:hAnsi="Consolas"/>
        </w:rPr>
        <w:t>/hormonal-gecis/perimenopoz/perimenopoz-ilk-isaretler</w:t>
      </w:r>
    </w:p>
    <w:p>
      <w:pPr>
        <w:ind w:left="360"/>
      </w:pPr>
      <w:r>
        <w:rPr>
          <w:b/>
        </w:rPr>
        <w:t>Yazar:</w:t>
      </w:r>
      <w:r>
        <w:t xml:space="preserve"> Berna Aksoy (slug: </w:t>
      </w:r>
      <w:r>
        <w:rPr>
          <w:rFonts w:ascii="Consolas" w:hAnsi="Consolas"/>
        </w:rPr>
        <w:t>berna-aksoy</w:t>
      </w:r>
      <w:r>
        <w:t>)</w:t>
      </w:r>
    </w:p>
    <w:p>
      <w:pPr>
        <w:ind w:left="360"/>
      </w:pPr>
      <w:r>
        <w:rPr>
          <w:b/>
        </w:rPr>
        <w:t>Profil seti:</w:t>
      </w:r>
      <w:r>
        <w:t xml:space="preserve"> modüler yapı — </w:t>
      </w:r>
      <w:r>
        <w:rPr>
          <w:rFonts w:ascii="Consolas" w:hAnsi="Consolas"/>
        </w:rPr>
        <w:t>writers/berna-aksoy/README.md</w:t>
      </w:r>
      <w:r>
        <w:t xml:space="preserve">, </w:t>
      </w:r>
      <w:r>
        <w:rPr>
          <w:rFonts w:ascii="Consolas" w:hAnsi="Consolas"/>
        </w:rPr>
        <w:t>hot.md</w:t>
      </w:r>
      <w:r>
        <w:t xml:space="preserve">, </w:t>
      </w:r>
      <w:r>
        <w:rPr>
          <w:rFonts w:ascii="Consolas" w:hAnsi="Consolas"/>
        </w:rPr>
        <w:t>warm.md</w:t>
      </w:r>
    </w:p>
    <w:p>
      <w:pPr>
        <w:ind w:left="360"/>
      </w:pPr>
      <w:r>
        <w:rPr>
          <w:b/>
        </w:rPr>
        <w:t>Kontrol tarihi:</w:t>
      </w:r>
      <w:r>
        <w:t xml:space="preserve"> 5 Mayıs 2026</w:t>
      </w:r>
    </w:p>
    <w:p>
      <w:pPr>
        <w:ind w:left="360"/>
      </w:pPr>
      <w:r>
        <w:rPr>
          <w:b/>
        </w:rPr>
        <w:t>Kaynak dosya:</w:t>
      </w:r>
      <w:r>
        <w:t xml:space="preserve"> </w:t>
      </w:r>
      <w:r>
        <w:rPr>
          <w:rFonts w:ascii="Consolas" w:hAnsi="Consolas"/>
        </w:rPr>
        <w:t>src/pages/hormonal-gecis/perimenopoz/perimenopoz-ilk-isaretler.astro</w:t>
      </w:r>
    </w:p>
    <w:p>
      <w:pPr>
        <w:pStyle w:val="Heading1"/>
      </w:pPr>
      <w:r>
        <w:t>1. Kısa hüküm</w:t>
      </w:r>
    </w:p>
    <w:p>
      <w:pPr/>
      <w:r>
        <w:t>Bu makale Berna Aksoy sesinin ana omurgasını büyük ölçüde taşıyor: kişisel ama klinik kürsüsüne çıkmayan bir açılış, dolaylı sesle kurulmuş yaşıt sahnesi, sakin hekim çerçevesi, yumuşak ama net bir kapanış ve güçlü bir bilimsel iskelet var.</w:t>
      </w:r>
    </w:p>
    <w:p>
      <w:pPr/>
      <w:r>
        <w:t xml:space="preserve">Buna karşılık yayın-standardı açısından </w:t>
      </w:r>
      <w:r>
        <w:rPr>
          <w:b/>
        </w:rPr>
        <w:t>3 net revizyon ihtiyacı</w:t>
      </w:r>
      <w:r>
        <w:t xml:space="preserve"> bulunuyor:</w:t>
      </w:r>
    </w:p>
    <w:p>
      <w:pPr>
        <w:pStyle w:val="ListNumber"/>
      </w:pPr>
      <w:r>
        <w:rPr>
          <w:b/>
        </w:rPr>
        <w:t>Tek görünür SSS yüzeyi kuralı ihlal ediliyor.</w:t>
      </w:r>
      <w:r>
        <w:t xml:space="preserve"> Gövde içinde </w:t>
      </w:r>
      <w:r>
        <w:rPr>
          <w:rFonts w:ascii="Consolas" w:hAnsi="Consolas"/>
        </w:rPr>
        <w:t>Sıkça Sorulanlar</w:t>
      </w:r>
      <w:r>
        <w:t xml:space="preserve"> H2 bloğu var; ayrıca altta </w:t>
      </w:r>
      <w:r>
        <w:rPr>
          <w:rFonts w:ascii="Consolas" w:hAnsi="Consolas"/>
        </w:rPr>
        <w:t>ArticleFAQ</w:t>
      </w:r>
      <w:r>
        <w:t xml:space="preserve"> akordeonu da render ediliyor.</w:t>
      </w:r>
    </w:p>
    <w:p>
      <w:pPr>
        <w:pStyle w:val="ListNumber"/>
      </w:pPr>
      <w:r>
        <w:rPr>
          <w:b/>
        </w:rPr>
        <w:t>Hitap standardı yer yer kayıyor.</w:t>
      </w:r>
      <w:r>
        <w:t xml:space="preserve"> Berna metni genel olarak “siz” çizgisinde olsa da bazı cümleler “sen” ya da tekil emir kipine düşüyor.</w:t>
      </w:r>
    </w:p>
    <w:p>
      <w:pPr>
        <w:pStyle w:val="ListNumber"/>
      </w:pPr>
      <w:r>
        <w:rPr>
          <w:b/>
        </w:rPr>
        <w:t>Deterministik lexicon riski var.</w:t>
      </w:r>
      <w:r>
        <w:t xml:space="preserve"> </w:t>
      </w:r>
      <w:r>
        <w:rPr>
          <w:rFonts w:ascii="Consolas" w:hAnsi="Consolas"/>
        </w:rPr>
        <w:t>örüntü</w:t>
      </w:r>
      <w:r>
        <w:t xml:space="preserve"> hard-ban listesinde; makalede hem ana gövdede hem Bilimsel Editör Notu'nda geçiyor.</w:t>
      </w:r>
    </w:p>
    <w:p>
      <w:pPr/>
      <w:r>
        <w:t xml:space="preserve">Bu yüzden genel sonuç: </w:t>
      </w:r>
      <w:r>
        <w:rPr>
          <w:b/>
        </w:rPr>
        <w:t>ses güçlü, ama stil-polisi ve yayın-lint açısından revizyon gerekli.</w:t>
      </w:r>
    </w:p>
    <w:p>
      <w:pPr>
        <w:pStyle w:val="Heading1"/>
      </w:pPr>
      <w:r>
        <w:t>2. Profil katmanları — uyum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Katman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Durum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Kanıt</w:t>
            </w:r>
          </w:p>
        </w:tc>
      </w:tr>
      <w:tr>
        <w:tc>
          <w:tcPr>
            <w:tcW w:type="dxa" w:w="2484"/>
          </w:tcPr>
          <w:p>
            <w:r/>
            <w:r>
              <w:t>1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Signature açılış havuzu</w:t>
            </w:r>
          </w:p>
        </w:tc>
        <w:tc>
          <w:tcPr>
            <w:tcW w:type="dxa" w:w="2484"/>
          </w:tcPr>
          <w:p>
            <w:r/>
            <w:r>
              <w:t>✓ Güçlü</w:t>
            </w:r>
          </w:p>
        </w:tc>
        <w:tc>
          <w:tcPr>
            <w:tcW w:type="dxa" w:w="2484"/>
          </w:tcPr>
          <w:p>
            <w:r/>
            <w:r>
              <w:t xml:space="preserve">Makale </w:t>
            </w:r>
            <w:r>
              <w:rPr>
                <w:rFonts w:ascii="Consolas" w:hAnsi="Consolas"/>
              </w:rPr>
              <w:t>Bir noktada şunu fark ettim</w:t>
            </w:r>
            <w:r>
              <w:t xml:space="preserve"> açılışıyla başlıyor; bu Berna </w:t>
            </w:r>
            <w:r>
              <w:rPr>
                <w:rFonts w:ascii="Consolas" w:hAnsi="Consolas"/>
              </w:rPr>
              <w:t>hot.md</w:t>
            </w:r>
            <w:r>
              <w:t xml:space="preserve"> açılış havuzundaki klasik varyantla uyumlu.</w:t>
            </w:r>
          </w:p>
        </w:tc>
      </w:tr>
      <w:tr>
        <w:tc>
          <w:tcPr>
            <w:tcW w:type="dxa" w:w="2484"/>
          </w:tcPr>
          <w:p>
            <w:r/>
            <w:r>
              <w:t>2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Dolaylı ses / yaşıt aktarımı</w:t>
            </w:r>
          </w:p>
        </w:tc>
        <w:tc>
          <w:tcPr>
            <w:tcW w:type="dxa" w:w="2484"/>
          </w:tcPr>
          <w:p>
            <w:r/>
            <w:r>
              <w:t>✓ Güçlü</w:t>
            </w:r>
          </w:p>
        </w:tc>
        <w:tc>
          <w:tcPr>
            <w:tcW w:type="dxa" w:w="2484"/>
          </w:tcPr>
          <w:p>
            <w:r/>
            <w:r>
              <w:t xml:space="preserve">Açılışta </w:t>
            </w:r>
            <w:r>
              <w:rPr>
                <w:rFonts w:ascii="Consolas" w:hAnsi="Consolas"/>
              </w:rPr>
              <w:t>Tanıdığım bir kadın bunu çok sade anlatmıştı</w:t>
            </w:r>
            <w:r>
              <w:t xml:space="preserve"> cümlesi Berna'nın </w:t>
            </w:r>
            <w:r>
              <w:rPr>
                <w:rFonts w:ascii="Consolas" w:hAnsi="Consolas"/>
              </w:rPr>
              <w:t>warm.md</w:t>
            </w:r>
            <w:r>
              <w:t xml:space="preserve"> dolaylı ses kanallarıyla tam uyumlu.</w:t>
            </w:r>
          </w:p>
        </w:tc>
      </w:tr>
      <w:tr>
        <w:tc>
          <w:tcPr>
            <w:tcW w:type="dxa" w:w="2484"/>
          </w:tcPr>
          <w:p>
            <w:r/>
            <w:r>
              <w:t>3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Klinik kürsüsü yasağı</w:t>
            </w:r>
          </w:p>
        </w:tc>
        <w:tc>
          <w:tcPr>
            <w:tcW w:type="dxa" w:w="2484"/>
          </w:tcPr>
          <w:p>
            <w:r/>
            <w:r>
              <w:t>✓ Temiz</w:t>
            </w:r>
          </w:p>
        </w:tc>
        <w:tc>
          <w:tcPr>
            <w:tcW w:type="dxa" w:w="2484"/>
          </w:tcPr>
          <w:p>
            <w:r/>
            <w:r>
              <w:t xml:space="preserve">Metin hekim gibi konuşmuyor; “tıbbi olarak” açıklama var ama ana ses editoryal kalıyor. Klinik otorite yalnızca </w:t>
            </w:r>
            <w:r>
              <w:rPr>
                <w:rFonts w:ascii="Consolas" w:hAnsi="Consolas"/>
              </w:rPr>
              <w:t>ArticleEditorNote</w:t>
            </w:r>
            <w:r>
              <w:t xml:space="preserve"> içinde toplanmış.</w:t>
            </w:r>
          </w:p>
        </w:tc>
      </w:tr>
      <w:tr>
        <w:tc>
          <w:tcPr>
            <w:tcW w:type="dxa" w:w="2484"/>
          </w:tcPr>
          <w:p>
            <w:r/>
            <w:r>
              <w:t>4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Hekim çerçevesi kullanımı</w:t>
            </w:r>
          </w:p>
        </w:tc>
        <w:tc>
          <w:tcPr>
            <w:tcW w:type="dxa" w:w="2484"/>
          </w:tcPr>
          <w:p>
            <w:r/>
            <w:r>
              <w:t>✓ Doğal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/>
              </w:rPr>
              <w:t>Hekimimle bir konuşmamızda şunu söylemişti</w:t>
            </w:r>
            <w:r>
              <w:t xml:space="preserve"> cümlesi Berna </w:t>
            </w:r>
            <w:r>
              <w:rPr>
                <w:rFonts w:ascii="Consolas" w:hAnsi="Consolas"/>
              </w:rPr>
              <w:t>hot.md</w:t>
            </w:r>
            <w:r>
              <w:t xml:space="preserve"> içindeki tercih edilen çerçevelerden biriyle uyumlu.</w:t>
            </w:r>
          </w:p>
        </w:tc>
      </w:tr>
      <w:tr>
        <w:tc>
          <w:tcPr>
            <w:tcW w:type="dxa" w:w="2484"/>
          </w:tcPr>
          <w:p>
            <w:r/>
            <w:r>
              <w:t>5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Anekdot sayısı disiplini</w:t>
            </w:r>
          </w:p>
        </w:tc>
        <w:tc>
          <w:tcPr>
            <w:tcW w:type="dxa" w:w="2484"/>
          </w:tcPr>
          <w:p>
            <w:r/>
            <w:r>
              <w:t>✓ Kabul</w:t>
            </w:r>
          </w:p>
        </w:tc>
        <w:tc>
          <w:tcPr>
            <w:tcW w:type="dxa" w:w="2484"/>
          </w:tcPr>
          <w:p>
            <w:r/>
            <w:r>
              <w:t>Bir ana dolaylı ses anekdotu + bir hekim cümlesi var; 1-2 anekdot kuralı aşılmıyor.</w:t>
            </w:r>
          </w:p>
        </w:tc>
      </w:tr>
      <w:tr>
        <w:tc>
          <w:tcPr>
            <w:tcW w:type="dxa" w:w="2484"/>
          </w:tcPr>
          <w:p>
            <w:r/>
            <w:r>
              <w:t>6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Bedeni bir yazı gibi okuma kapanışı</w:t>
            </w:r>
          </w:p>
        </w:tc>
        <w:tc>
          <w:tcPr>
            <w:tcW w:type="dxa" w:w="2484"/>
          </w:tcPr>
          <w:p>
            <w:r/>
            <w:r>
              <w:t>✓ Güçlü</w:t>
            </w:r>
          </w:p>
        </w:tc>
        <w:tc>
          <w:tcPr>
            <w:tcW w:type="dxa" w:w="2484"/>
          </w:tcPr>
          <w:p>
            <w:r/>
            <w:r>
              <w:t xml:space="preserve">Finalde </w:t>
            </w:r>
            <w:r>
              <w:rPr>
                <w:rFonts w:ascii="Consolas" w:hAnsi="Consolas"/>
              </w:rPr>
              <w:t>Beden bir cümle söylemişti; siz onu bu kez kendi takviminize yazıyorsunuz</w:t>
            </w:r>
            <w:r>
              <w:t xml:space="preserve"> cümlesi Berna'nın “bedenle yazışma” imzasını taşıyor.</w:t>
            </w:r>
          </w:p>
        </w:tc>
      </w:tr>
      <w:tr>
        <w:tc>
          <w:tcPr>
            <w:tcW w:type="dxa" w:w="2484"/>
          </w:tcPr>
          <w:p>
            <w:r/>
            <w:r>
              <w:t>7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Kolektif “biz” sahne kurmama</w:t>
            </w:r>
          </w:p>
        </w:tc>
        <w:tc>
          <w:tcPr>
            <w:tcW w:type="dxa" w:w="2484"/>
          </w:tcPr>
          <w:p>
            <w:r/>
            <w:r>
              <w:t>✓ Temiz</w:t>
            </w:r>
          </w:p>
        </w:tc>
        <w:tc>
          <w:tcPr>
            <w:tcW w:type="dxa" w:w="2484"/>
          </w:tcPr>
          <w:p>
            <w:r/>
            <w:r>
              <w:t>Berna'ya özel yasak olan “hepimiz / birçoğumuzun aynı sahnesi” açılışı yok.</w:t>
            </w:r>
          </w:p>
        </w:tc>
      </w:tr>
      <w:tr>
        <w:tc>
          <w:tcPr>
            <w:tcW w:type="dxa" w:w="2484"/>
          </w:tcPr>
          <w:p>
            <w:r/>
            <w:r>
              <w:t>8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Kanal A kapalı alanlara girmeme</w:t>
            </w:r>
          </w:p>
        </w:tc>
        <w:tc>
          <w:tcPr>
            <w:tcW w:type="dxa" w:w="2484"/>
          </w:tcPr>
          <w:p>
            <w:r/>
            <w:r>
              <w:t>✓ Temiz</w:t>
            </w:r>
          </w:p>
        </w:tc>
        <w:tc>
          <w:tcPr>
            <w:tcW w:type="dxa" w:w="2484"/>
          </w:tcPr>
          <w:p>
            <w:r/>
            <w:r>
              <w:t>Yazar kendi sıcak basması, kilosu, gece uyanması gibi birinci el beden izlerini anlatmıyor; dolaylı ses kullanıyor.</w:t>
            </w:r>
          </w:p>
        </w:tc>
      </w:tr>
    </w:tbl>
    <w:p>
      <w:pPr>
        <w:pStyle w:val="Heading1"/>
      </w:pPr>
      <w:r>
        <w:t>3. Güçlü çalışan alanlar</w:t>
      </w:r>
    </w:p>
    <w:p>
      <w:pPr>
        <w:pStyle w:val="Heading2"/>
      </w:pPr>
      <w:r>
        <w:t>Açılış</w:t>
      </w:r>
    </w:p>
    <w:p>
      <w:pPr/>
      <w:r>
        <w:t>Makalenin ilk bölümü Berna için doğru yerden açılıyor: büyük iddia yerine küçük fark hissi. “Evin içinde yeri değişmiş küçük bir eşya” benzetmesi, hem Vogue/TR editoryal hissine yakın hem de panik dili üretmeden bedensel değişimi görünür kılıyor.</w:t>
      </w:r>
    </w:p>
    <w:p>
      <w:pPr>
        <w:pStyle w:val="Heading2"/>
      </w:pPr>
      <w:r>
        <w:t>Bilimsel omurga</w:t>
      </w:r>
    </w:p>
    <w:p>
      <w:pPr/>
      <w:r>
        <w:t xml:space="preserve">Makale perimenopozun klinik tanımını, adet değişimini, vazomotor belirtileri, bilişsel etkileri ve testlerin sınırlılığını dengeli biçimde kuruyor. </w:t>
      </w:r>
      <w:r>
        <w:rPr>
          <w:rFonts w:ascii="Consolas" w:hAnsi="Consolas"/>
        </w:rPr>
        <w:t>Evidence</w:t>
      </w:r>
      <w:r>
        <w:t xml:space="preserve"> kullanımı düzenli; uluslararası kurum adı ya da dış link sızıntısı yok.</w:t>
      </w:r>
    </w:p>
    <w:p>
      <w:pPr>
        <w:pStyle w:val="Heading2"/>
      </w:pPr>
      <w:r>
        <w:t>Berna'ya uygun dolaylı ses</w:t>
      </w:r>
    </w:p>
    <w:p>
      <w:pPr/>
      <w:r>
        <w:t>Berna profilinde hassas kalemlerde birinci el bedensel anlatım yerine dolaylı ses tercih ediliyor. Bu yazı da o sınırı iyi koruyor. “Tanıdığım bir kadın...” ile açılması bu makalenin en isabetli ses kararlarından biri.</w:t>
      </w:r>
    </w:p>
    <w:p>
      <w:pPr>
        <w:pStyle w:val="Heading2"/>
      </w:pPr>
      <w:r>
        <w:t>Kapanış tonu</w:t>
      </w:r>
    </w:p>
    <w:p>
      <w:pPr/>
      <w:r>
        <w:t>Kapanış bölümünde dramatik zafer anlatısı yok; bedenin verdiği sinyalleri “küçük notlar” gibi okuyan, yumuşak ama akılda kalan bir editoryal bitiş var. Bu, Estranova'nın satışsız güven diline uygun.</w:t>
      </w:r>
    </w:p>
    <w:p>
      <w:pPr>
        <w:pStyle w:val="Heading1"/>
      </w:pPr>
      <w:r>
        <w:t>4. Revizyon gerektiren noktalar</w:t>
      </w:r>
    </w:p>
    <w:p>
      <w:pPr>
        <w:pStyle w:val="Heading2"/>
      </w:pPr>
      <w:r>
        <w:t>A. Tek görünür SSS yüzeyi ihlali</w:t>
      </w:r>
    </w:p>
    <w:p>
      <w:pPr/>
      <w:r>
        <w:rPr>
          <w:rFonts w:ascii="Consolas" w:hAnsi="Consolas"/>
        </w:rPr>
        <w:t>CLAUDE.md</w:t>
      </w:r>
      <w:r>
        <w:t xml:space="preserve"> ve </w:t>
      </w:r>
      <w:r>
        <w:rPr>
          <w:rFonts w:ascii="Consolas" w:hAnsi="Consolas"/>
        </w:rPr>
        <w:t>AGENTS.md</w:t>
      </w:r>
      <w:r>
        <w:t xml:space="preserve"> aynı kuralı koyuyor: yayınlanan sayfada </w:t>
      </w:r>
      <w:r>
        <w:rPr>
          <w:b/>
        </w:rPr>
        <w:t>tek görünür SSS yüzeyi</w:t>
      </w:r>
      <w:r>
        <w:t xml:space="preserve"> olmalı.</w:t>
      </w:r>
    </w:p>
    <w:p>
      <w:pPr/>
      <w:r>
        <w:t>Bu makalede ise iki ayrı yüzey var:</w:t>
      </w:r>
    </w:p>
    <w:p>
      <w:pPr>
        <w:pStyle w:val="ListBullet"/>
      </w:pPr>
      <w:r>
        <w:t xml:space="preserve">gövde içinde </w:t>
      </w:r>
      <w:r>
        <w:rPr>
          <w:rFonts w:ascii="Consolas" w:hAnsi="Consolas"/>
        </w:rPr>
        <w:t>h2 id="sorular"</w:t>
      </w:r>
      <w:r>
        <w:t xml:space="preserve"> altında 5 soru-cevap</w:t>
      </w:r>
    </w:p>
    <w:p>
      <w:pPr>
        <w:pStyle w:val="ListBullet"/>
      </w:pPr>
      <w:r>
        <w:t xml:space="preserve">gövde sonrasında </w:t>
      </w:r>
      <w:r>
        <w:rPr>
          <w:rFonts w:ascii="Consolas" w:hAnsi="Consolas"/>
        </w:rPr>
        <w:t>&lt;ArticleFAQ id="sik-sorulanlar" items={faqItems} /&gt;</w:t>
      </w:r>
    </w:p>
    <w:p>
      <w:pPr/>
      <w:r>
        <w:t xml:space="preserve">Bu yalnızca görsel tekrar üretmiyor; aynı zamanda schema kaynağıyla görünür içerik arasında drift riski yaratıyor. </w:t>
      </w:r>
      <w:r>
        <w:rPr>
          <w:rFonts w:ascii="Consolas" w:hAnsi="Consolas"/>
        </w:rPr>
        <w:t>FAQPage</w:t>
      </w:r>
      <w:r>
        <w:t xml:space="preserve"> şeması </w:t>
      </w:r>
      <w:r>
        <w:rPr>
          <w:rFonts w:ascii="Consolas" w:hAnsi="Consolas"/>
        </w:rPr>
        <w:t>articleFaqs.ts</w:t>
      </w:r>
      <w:r>
        <w:t xml:space="preserve"> içindeki 3 soruya bağlıyken, gövdedeki editoryal SSS 5 ayrı soru taşıyor.</w:t>
      </w:r>
    </w:p>
    <w:p>
      <w:pPr/>
      <w:r>
        <w:rPr>
          <w:b/>
        </w:rPr>
        <w:t>Öneri:</w:t>
      </w:r>
      <w:r>
        <w:t xml:space="preserve"> Ya gövde içindeki </w:t>
      </w:r>
      <w:r>
        <w:rPr>
          <w:rFonts w:ascii="Consolas" w:hAnsi="Consolas"/>
        </w:rPr>
        <w:t>Sıkça Sorulanlar</w:t>
      </w:r>
      <w:r>
        <w:t xml:space="preserve"> bölümü kalsın ve </w:t>
      </w:r>
      <w:r>
        <w:rPr>
          <w:rFonts w:ascii="Consolas" w:hAnsi="Consolas"/>
        </w:rPr>
        <w:t>ArticleFAQ</w:t>
      </w:r>
      <w:r>
        <w:t xml:space="preserve"> kaldırılsın, ya da gövde içi H2/Q&amp;A bloğu çıkarılıp tek yüzey </w:t>
      </w:r>
      <w:r>
        <w:rPr>
          <w:rFonts w:ascii="Consolas" w:hAnsi="Consolas"/>
        </w:rPr>
        <w:t>ArticleFAQ</w:t>
      </w:r>
      <w:r>
        <w:t xml:space="preserve"> olsun.</w:t>
      </w:r>
    </w:p>
    <w:p>
      <w:pPr>
        <w:pStyle w:val="Heading2"/>
      </w:pPr>
      <w:r>
        <w:t>B. “Siz” standardında kırılma</w:t>
      </w:r>
    </w:p>
    <w:p>
      <w:pPr/>
      <w:r>
        <w:t>Makale genel olarak “siz” çizgisine yakın ama bazı satırlarda hitap kırılıyor:</w:t>
      </w:r>
    </w:p>
    <w:p>
      <w:pPr>
        <w:pStyle w:val="ListBullet"/>
      </w:pPr>
      <w:r>
        <w:t xml:space="preserve">Açılışta: </w:t>
      </w:r>
      <w:r>
        <w:rPr>
          <w:rFonts w:ascii="Consolas" w:hAnsi="Consolas"/>
        </w:rPr>
        <w:t>... neyin farklı olduğunu bilemiyorsun ...</w:t>
      </w:r>
    </w:p>
    <w:p>
      <w:pPr>
        <w:pStyle w:val="ListBullet"/>
      </w:pPr>
      <w:r>
        <w:t xml:space="preserve">İzleme planı maddelerinde: </w:t>
      </w:r>
      <w:r>
        <w:rPr>
          <w:rFonts w:ascii="Consolas" w:hAnsi="Consolas"/>
        </w:rPr>
        <w:t>not et</w:t>
      </w:r>
      <w:r>
        <w:t xml:space="preserve">, </w:t>
      </w:r>
      <w:r>
        <w:rPr>
          <w:rFonts w:ascii="Consolas" w:hAnsi="Consolas"/>
        </w:rPr>
        <w:t>işaretle</w:t>
      </w:r>
      <w:r>
        <w:t xml:space="preserve">, </w:t>
      </w:r>
      <w:r>
        <w:rPr>
          <w:rFonts w:ascii="Consolas" w:hAnsi="Consolas"/>
        </w:rPr>
        <w:t>kaydet</w:t>
      </w:r>
    </w:p>
    <w:p>
      <w:pPr/>
      <w:r>
        <w:t xml:space="preserve">Bu Berna'nın yaşıt tonunu bozmaz ama Estranova'nın </w:t>
      </w:r>
      <w:r>
        <w:rPr>
          <w:b/>
        </w:rPr>
        <w:t>tekil hitap standardını</w:t>
      </w:r>
      <w:r>
        <w:t xml:space="preserve"> bozar. Aynı blok içinde tekil emir ile çoğul/nötr anlatım karışması, makaleyi editoryal olarak biraz “taslak” hissettiriyor.</w:t>
      </w:r>
    </w:p>
    <w:p>
      <w:pPr/>
      <w:r>
        <w:rPr>
          <w:b/>
        </w:rPr>
        <w:t>Öneri:</w:t>
      </w:r>
      <w:r>
        <w:t xml:space="preserve"> tüm bu satırlar “not edin”, “işaretleyin”, “kaydedin” ya da daha nötr biçimde “not almak işe yarar” çizgisine çekilmeli.</w:t>
      </w:r>
    </w:p>
    <w:p>
      <w:pPr>
        <w:pStyle w:val="Heading2"/>
      </w:pPr>
      <w:r>
        <w:t xml:space="preserve">C. Hard-ban lexicon ihlali: </w:t>
      </w:r>
      <w:r>
        <w:rPr>
          <w:rFonts w:ascii="Consolas" w:hAnsi="Consolas"/>
        </w:rPr>
        <w:t>örüntü</w:t>
      </w:r>
    </w:p>
    <w:p>
      <w:pPr/>
      <w:r>
        <w:rPr>
          <w:rFonts w:ascii="Consolas" w:hAnsi="Consolas"/>
        </w:rPr>
        <w:t>config/editorial-lexicon.json</w:t>
      </w:r>
      <w:r>
        <w:t xml:space="preserve"> içinde </w:t>
      </w:r>
      <w:r>
        <w:rPr>
          <w:rFonts w:ascii="Consolas" w:hAnsi="Consolas"/>
        </w:rPr>
        <w:t>örüntü</w:t>
      </w:r>
      <w:r>
        <w:t xml:space="preserve"> hard-ban listesinde. Makalede bu sözcük en az iki yerde geçiyor:</w:t>
      </w:r>
    </w:p>
    <w:p>
      <w:pPr>
        <w:pStyle w:val="ListBullet"/>
      </w:pPr>
      <w:r>
        <w:rPr>
          <w:rFonts w:ascii="Consolas" w:hAnsi="Consolas"/>
        </w:rPr>
        <w:t>Burada önemli olan tek bir ay değil, örüntüdür.</w:t>
      </w:r>
    </w:p>
    <w:p>
      <w:pPr>
        <w:pStyle w:val="ListBullet"/>
      </w:pPr>
      <w:r>
        <w:t xml:space="preserve">Bilimsel Editör Notu içinde </w:t>
      </w:r>
      <w:r>
        <w:rPr>
          <w:rFonts w:ascii="Consolas" w:hAnsi="Consolas"/>
        </w:rPr>
        <w:t>menstrual döngü örüntüsünün değiştiği geçiş dönemidir</w:t>
      </w:r>
    </w:p>
    <w:p>
      <w:pPr/>
      <w:r>
        <w:t>Bu tür kullanım yayın öncesi lint kontrolünde fail üretir.</w:t>
      </w:r>
    </w:p>
    <w:p>
      <w:pPr/>
      <w:r>
        <w:rPr>
          <w:b/>
        </w:rPr>
        <w:t>Öneri:</w:t>
      </w:r>
      <w:r>
        <w:t xml:space="preserve"> </w:t>
      </w:r>
      <w:r>
        <w:rPr>
          <w:rFonts w:ascii="Consolas" w:hAnsi="Consolas"/>
        </w:rPr>
        <w:t>örüntü</w:t>
      </w:r>
      <w:r>
        <w:t xml:space="preserve"> yerine </w:t>
      </w:r>
      <w:r>
        <w:rPr>
          <w:rFonts w:ascii="Consolas" w:hAnsi="Consolas"/>
        </w:rPr>
        <w:t>seyir</w:t>
      </w:r>
      <w:r>
        <w:t xml:space="preserve">, </w:t>
      </w:r>
      <w:r>
        <w:rPr>
          <w:rFonts w:ascii="Consolas" w:hAnsi="Consolas"/>
        </w:rPr>
        <w:t>gidiş</w:t>
      </w:r>
      <w:r>
        <w:t xml:space="preserve">, </w:t>
      </w:r>
      <w:r>
        <w:rPr>
          <w:rFonts w:ascii="Consolas" w:hAnsi="Consolas"/>
        </w:rPr>
        <w:t>düzen</w:t>
      </w:r>
      <w:r>
        <w:t xml:space="preserve"> ya da </w:t>
      </w:r>
      <w:r>
        <w:rPr>
          <w:rFonts w:ascii="Consolas" w:hAnsi="Consolas"/>
        </w:rPr>
        <w:t>tekrar eden tablo</w:t>
      </w:r>
      <w:r>
        <w:t xml:space="preserve"> kullanılmalı.</w:t>
      </w:r>
    </w:p>
    <w:p>
      <w:pPr>
        <w:pStyle w:val="Heading1"/>
      </w:pPr>
      <w:r>
        <w:t>5. Mikro stil kontrol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Kural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Durum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Not</w:t>
            </w:r>
          </w:p>
        </w:tc>
      </w:tr>
      <w:tr>
        <w:tc>
          <w:tcPr>
            <w:tcW w:type="dxa" w:w="3312"/>
          </w:tcPr>
          <w:p>
            <w:r/>
            <w:r>
              <w:t>Cümle ritmi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Çoğu paragraf 2-4 cümlelik, okunur ritimde.</w:t>
            </w:r>
          </w:p>
        </w:tc>
      </w:tr>
      <w:tr>
        <w:tc>
          <w:tcPr>
            <w:tcW w:type="dxa" w:w="3312"/>
          </w:tcPr>
          <w:p>
            <w:r/>
            <w:r>
              <w:t>H2 sonrası lede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Bölüm açılışları çoğunlukla iyi editoryal lede taşıyor; veri dökümüyle başlamıyor.</w:t>
            </w:r>
          </w:p>
        </w:tc>
      </w:tr>
      <w:tr>
        <w:tc>
          <w:tcPr>
            <w:tcW w:type="dxa" w:w="3312"/>
          </w:tcPr>
          <w:p>
            <w:r/>
            <w:r>
              <w:t>Dış URL yok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Makale gövdesinde inline link yok.</w:t>
            </w:r>
          </w:p>
        </w:tc>
      </w:tr>
      <w:tr>
        <w:tc>
          <w:tcPr>
            <w:tcW w:type="dxa" w:w="3312"/>
          </w:tcPr>
          <w:p>
            <w:r/>
            <w:r>
              <w:t>Kuruluş adı yok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NAMS/NICE vb. doğrudan kurum adı geçirilmemiş.</w:t>
            </w:r>
          </w:p>
        </w:tc>
      </w:tr>
      <w:tr>
        <w:tc>
          <w:tcPr>
            <w:tcW w:type="dxa" w:w="3312"/>
          </w:tcPr>
          <w:p>
            <w:r/>
            <w:r>
              <w:t>Plaza dili yok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Dil sade, reklam-cümlesi ya da iş İngilizcesi sızıntısı taşımıyor.</w:t>
            </w:r>
          </w:p>
        </w:tc>
      </w:tr>
      <w:tr>
        <w:tc>
          <w:tcPr>
            <w:tcW w:type="dxa" w:w="3312"/>
          </w:tcPr>
          <w:p>
            <w:r/>
            <w:r>
              <w:t>Yumuşatma dili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“işaret edebilir”, “çoğu zaman”, “anlamlı olabilir” çizgisi korunuyor.</w:t>
            </w:r>
          </w:p>
        </w:tc>
      </w:tr>
      <w:tr>
        <w:tc>
          <w:tcPr>
            <w:tcW w:type="dxa" w:w="3312"/>
          </w:tcPr>
          <w:p>
            <w:r/>
            <w:r>
              <w:t>Soru yoğunluğu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Retorik soru aşırı değil; okuru bunaltmıyor.</w:t>
            </w:r>
          </w:p>
        </w:tc>
      </w:tr>
      <w:tr>
        <w:tc>
          <w:tcPr>
            <w:tcW w:type="dxa" w:w="3312"/>
          </w:tcPr>
          <w:p>
            <w:r/>
            <w:r>
              <w:t>Emir kipi kontrolü</w:t>
            </w:r>
          </w:p>
        </w:tc>
        <w:tc>
          <w:tcPr>
            <w:tcW w:type="dxa" w:w="3312"/>
          </w:tcPr>
          <w:p>
            <w:r/>
            <w:r>
              <w:t>△</w:t>
            </w:r>
          </w:p>
        </w:tc>
        <w:tc>
          <w:tcPr>
            <w:tcW w:type="dxa" w:w="3312"/>
          </w:tcPr>
          <w:p>
            <w:r/>
            <w:r>
              <w:t>Özellikle izleme planı maddelerinde tekil emir var; “siz” standardıyla uyumsuz.</w:t>
            </w:r>
          </w:p>
        </w:tc>
      </w:tr>
    </w:tbl>
    <w:p>
      <w:pPr>
        <w:pStyle w:val="Heading1"/>
      </w:pPr>
      <w:r>
        <w:t>6. Yapısal yayın kontrolü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Öğe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Durum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Not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SubmenuHero</w:t>
            </w:r>
            <w:r>
              <w:t xml:space="preserve"> + </w:t>
            </w:r>
            <w:r>
              <w:rPr>
                <w:rFonts w:ascii="Consolas" w:hAnsi="Consolas"/>
              </w:rPr>
              <w:t>SubmenuArticleBody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Hub-stil makale iskeleti doğru kurulmuş.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ArticleAuthorBlock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Yazar, tarih ve okuma süresi mevcut.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ArticleSummary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Kısa Özet yüzeyi doğru kullanılmış.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ArticleProsePanel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Ana gövde tek editoryal tipografi sisteminde.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Evidence</w:t>
            </w:r>
            <w:r>
              <w:t xml:space="preserve"> kullanımı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Bilimsel iddialar yanında görünür.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RelatedReadings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Mevcut.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ArticleEditorNote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Bilimsel güven bloğu yerinde.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ArticleDisclaimer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Nötr uyarı mevcut.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buildArticleSchemas()</w:t>
            </w:r>
          </w:p>
        </w:tc>
        <w:tc>
          <w:tcPr>
            <w:tcW w:type="dxa" w:w="3312"/>
          </w:tcPr>
          <w:p>
            <w:r/>
            <w:r>
              <w:t>✓</w:t>
            </w:r>
          </w:p>
        </w:tc>
        <w:tc>
          <w:tcPr>
            <w:tcW w:type="dxa" w:w="3312"/>
          </w:tcPr>
          <w:p>
            <w:r/>
            <w:r>
              <w:t>JSON-LD helper kullanılıyor.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FAQPage</w:t>
            </w:r>
            <w:r>
              <w:t xml:space="preserve"> ile görünür SSS birebirliği</w:t>
            </w:r>
          </w:p>
        </w:tc>
        <w:tc>
          <w:tcPr>
            <w:tcW w:type="dxa" w:w="3312"/>
          </w:tcPr>
          <w:p>
            <w:r/>
            <w:r>
              <w:t>✗</w:t>
            </w:r>
          </w:p>
        </w:tc>
        <w:tc>
          <w:tcPr>
            <w:tcW w:type="dxa" w:w="3312"/>
          </w:tcPr>
          <w:p>
            <w:r/>
            <w:r>
              <w:t>Görünür çift SSS yüzeyi nedeniyle birebirlik bozuluyor.</w:t>
            </w:r>
          </w:p>
        </w:tc>
      </w:tr>
    </w:tbl>
    <w:p>
      <w:pPr>
        <w:pStyle w:val="Heading1"/>
      </w:pPr>
      <w:r>
        <w:t>7. Sonuç skoru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Alan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Skor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Yorum</w:t>
            </w:r>
          </w:p>
        </w:tc>
      </w:tr>
      <w:tr>
        <w:tc>
          <w:tcPr>
            <w:tcW w:type="dxa" w:w="3312"/>
          </w:tcPr>
          <w:p>
            <w:r/>
            <w:r>
              <w:t>Berna ses uyumu</w:t>
            </w:r>
          </w:p>
        </w:tc>
        <w:tc>
          <w:tcPr>
            <w:tcW w:type="dxa" w:w="3312"/>
          </w:tcPr>
          <w:p>
            <w:r/>
            <w:r>
              <w:t>4/5</w:t>
            </w:r>
          </w:p>
        </w:tc>
        <w:tc>
          <w:tcPr>
            <w:tcW w:type="dxa" w:w="3312"/>
          </w:tcPr>
          <w:p>
            <w:r/>
            <w:r>
              <w:t>Güçlü açılış, dolaylı ses ve kapanış var.</w:t>
            </w:r>
          </w:p>
        </w:tc>
      </w:tr>
      <w:tr>
        <w:tc>
          <w:tcPr>
            <w:tcW w:type="dxa" w:w="3312"/>
          </w:tcPr>
          <w:p>
            <w:r/>
            <w:r>
              <w:t>Estranova ton uyumu</w:t>
            </w:r>
          </w:p>
        </w:tc>
        <w:tc>
          <w:tcPr>
            <w:tcW w:type="dxa" w:w="3312"/>
          </w:tcPr>
          <w:p>
            <w:r/>
            <w:r>
              <w:t>4/5</w:t>
            </w:r>
          </w:p>
        </w:tc>
        <w:tc>
          <w:tcPr>
            <w:tcW w:type="dxa" w:w="3312"/>
          </w:tcPr>
          <w:p>
            <w:r/>
            <w:r>
              <w:t>Sakin, zarif, paniksiz.</w:t>
            </w:r>
          </w:p>
        </w:tc>
      </w:tr>
      <w:tr>
        <w:tc>
          <w:tcPr>
            <w:tcW w:type="dxa" w:w="3312"/>
          </w:tcPr>
          <w:p>
            <w:r/>
            <w:r>
              <w:t>Yapısal uyum</w:t>
            </w:r>
          </w:p>
        </w:tc>
        <w:tc>
          <w:tcPr>
            <w:tcW w:type="dxa" w:w="3312"/>
          </w:tcPr>
          <w:p>
            <w:r/>
            <w:r>
              <w:t>3/5</w:t>
            </w:r>
          </w:p>
        </w:tc>
        <w:tc>
          <w:tcPr>
            <w:tcW w:type="dxa" w:w="3312"/>
          </w:tcPr>
          <w:p>
            <w:r/>
            <w:r>
              <w:t>Makale kabuğu doğru; SSS kuralı kırılıyor.</w:t>
            </w:r>
          </w:p>
        </w:tc>
      </w:tr>
      <w:tr>
        <w:tc>
          <w:tcPr>
            <w:tcW w:type="dxa" w:w="3312"/>
          </w:tcPr>
          <w:p>
            <w:r/>
            <w:r>
              <w:t>Deterministik compliance</w:t>
            </w:r>
          </w:p>
        </w:tc>
        <w:tc>
          <w:tcPr>
            <w:tcW w:type="dxa" w:w="3312"/>
          </w:tcPr>
          <w:p>
            <w:r/>
            <w:r>
              <w:t>2/5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</w:rPr>
              <w:t>örüntü</w:t>
            </w:r>
            <w:r>
              <w:t xml:space="preserve"> hard-ban ve hitap sapması revizyon istiyor.</w:t>
            </w:r>
          </w:p>
        </w:tc>
      </w:tr>
      <w:tr>
        <w:tc>
          <w:tcPr>
            <w:tcW w:type="dxa" w:w="3312"/>
          </w:tcPr>
          <w:p>
            <w:r/>
            <w:r>
              <w:t>Yayına hazır oluş</w:t>
            </w:r>
          </w:p>
        </w:tc>
        <w:tc>
          <w:tcPr>
            <w:tcW w:type="dxa" w:w="3312"/>
          </w:tcPr>
          <w:p>
            <w:r/>
            <w:r>
              <w:t>3/5</w:t>
            </w:r>
          </w:p>
        </w:tc>
        <w:tc>
          <w:tcPr>
            <w:tcW w:type="dxa" w:w="3312"/>
          </w:tcPr>
          <w:p>
            <w:r/>
            <w:r>
              <w:t>Küçük değil, net ama sınırlı bir editoryal düzeltme turu gerekiyor.</w:t>
            </w:r>
          </w:p>
        </w:tc>
      </w:tr>
    </w:tbl>
    <w:p>
      <w:pPr/>
      <w:r>
        <w:rPr>
          <w:b/>
        </w:rPr>
        <w:t>Genel sonuç:</w:t>
      </w:r>
      <w:r>
        <w:t xml:space="preserve"> Bu yazı Berna Aksoy sesi açısından başarılı; özellikle açılış, dolaylı ses ve final çizgisi iyi çalışıyor. Ancak yayın-standardı açısından </w:t>
      </w:r>
      <w:r>
        <w:rPr>
          <w:rFonts w:ascii="Consolas" w:hAnsi="Consolas"/>
        </w:rPr>
        <w:t>tek görünür SSS yüzeyi</w:t>
      </w:r>
      <w:r>
        <w:t xml:space="preserve">, </w:t>
      </w:r>
      <w:r>
        <w:rPr>
          <w:rFonts w:ascii="Consolas" w:hAnsi="Consolas"/>
        </w:rPr>
        <w:t>siz hitabı</w:t>
      </w:r>
      <w:r>
        <w:t xml:space="preserve"> ve </w:t>
      </w:r>
      <w:r>
        <w:rPr>
          <w:rFonts w:ascii="Consolas" w:hAnsi="Consolas"/>
        </w:rPr>
        <w:t>örüntü</w:t>
      </w:r>
      <w:r>
        <w:t xml:space="preserve"> hard-ban kelimesi düzeltilmeden “tam temiz stil paketi” sayılmamalı.</w:t>
      </w:r>
    </w:p>
    <w:p>
      <w:pPr>
        <w:pStyle w:val="Heading1"/>
      </w:pPr>
      <w:r>
        <w:t>8. Önerilen revizyon listesi</w:t>
      </w:r>
    </w:p>
    <w:p>
      <w:pPr>
        <w:pStyle w:val="ListNumber"/>
      </w:pPr>
      <w:r>
        <w:rPr>
          <w:rFonts w:ascii="Consolas" w:hAnsi="Consolas"/>
        </w:rPr>
        <w:t>Sıkça Sorulanlar</w:t>
      </w:r>
      <w:r>
        <w:t xml:space="preserve"> H2 bloğu ile </w:t>
      </w:r>
      <w:r>
        <w:rPr>
          <w:rFonts w:ascii="Consolas" w:hAnsi="Consolas"/>
        </w:rPr>
        <w:t>ArticleFAQ</w:t>
      </w:r>
      <w:r>
        <w:t xml:space="preserve"> arasından yalnızca biri bırakılmalı.</w:t>
      </w:r>
    </w:p>
    <w:p>
      <w:pPr>
        <w:pStyle w:val="ListNumber"/>
      </w:pPr>
      <w:r>
        <w:rPr>
          <w:rFonts w:ascii="Consolas" w:hAnsi="Consolas"/>
        </w:rPr>
        <w:t>bilemiyorsun</w:t>
      </w:r>
      <w:r>
        <w:t xml:space="preserve"> ve tekil emir kipleri </w:t>
      </w:r>
      <w:r>
        <w:rPr>
          <w:rFonts w:ascii="Consolas" w:hAnsi="Consolas"/>
        </w:rPr>
        <w:t>siz</w:t>
      </w:r>
      <w:r>
        <w:t xml:space="preserve"> standardına çevrilmeli.</w:t>
      </w:r>
    </w:p>
    <w:p>
      <w:pPr>
        <w:pStyle w:val="ListNumber"/>
      </w:pPr>
      <w:r>
        <w:rPr>
          <w:rFonts w:ascii="Consolas" w:hAnsi="Consolas"/>
        </w:rPr>
        <w:t>örüntü</w:t>
      </w:r>
      <w:r>
        <w:t xml:space="preserve"> geçen tüm yerler lexicon uyumlu eşanlamlarla değiştirilmeli.</w:t>
      </w:r>
    </w:p>
    <w:p>
      <w:pPr>
        <w:pStyle w:val="ListNumber"/>
      </w:pPr>
      <w:r>
        <w:t xml:space="preserve">Görünür SSS yüzeyi hangisi kalacaksa </w:t>
      </w:r>
      <w:r>
        <w:rPr>
          <w:rFonts w:ascii="Consolas" w:hAnsi="Consolas"/>
        </w:rPr>
        <w:t>FAQPage</w:t>
      </w:r>
      <w:r>
        <w:t xml:space="preserve"> şeması onunla birebir eşleştirilmeli.</w:t>
      </w:r>
    </w:p>
    <w:p>
      <w:pPr>
        <w:pStyle w:val="Heading1"/>
      </w:pPr>
      <w:r>
        <w:t>9. Referanslar</w:t>
      </w:r>
    </w:p>
    <w:p>
      <w:pPr>
        <w:pStyle w:val="ListBullet"/>
      </w:pPr>
      <w:r>
        <w:rPr>
          <w:rFonts w:ascii="Consolas" w:hAnsi="Consolas"/>
        </w:rPr>
        <w:t>CLAUDE.md</w:t>
      </w:r>
      <w:r>
        <w:t xml:space="preserve"> — HARD CONSTRAINT §3, §4, §5, §6</w:t>
      </w:r>
    </w:p>
    <w:p>
      <w:pPr>
        <w:pStyle w:val="ListBullet"/>
      </w:pPr>
      <w:r>
        <w:rPr>
          <w:rFonts w:ascii="Consolas" w:hAnsi="Consolas"/>
        </w:rPr>
        <w:t>docs/style-rules-map.md</w:t>
      </w:r>
    </w:p>
    <w:p>
      <w:pPr>
        <w:pStyle w:val="ListBullet"/>
      </w:pPr>
      <w:r>
        <w:rPr>
          <w:rFonts w:ascii="Consolas" w:hAnsi="Consolas"/>
        </w:rPr>
        <w:t>config/editorial-lexicon.json</w:t>
      </w:r>
    </w:p>
    <w:p>
      <w:pPr>
        <w:pStyle w:val="ListBullet"/>
      </w:pPr>
      <w:r>
        <w:rPr>
          <w:rFonts w:ascii="Consolas" w:hAnsi="Consolas"/>
        </w:rPr>
        <w:t>writers/berna-aksoy/README.md</w:t>
      </w:r>
    </w:p>
    <w:p>
      <w:pPr>
        <w:pStyle w:val="ListBullet"/>
      </w:pPr>
      <w:r>
        <w:rPr>
          <w:rFonts w:ascii="Consolas" w:hAnsi="Consolas"/>
        </w:rPr>
        <w:t>writers/berna-aksoy/hot.md</w:t>
      </w:r>
    </w:p>
    <w:p>
      <w:pPr>
        <w:pStyle w:val="ListBullet"/>
      </w:pPr>
      <w:r>
        <w:rPr>
          <w:rFonts w:ascii="Consolas" w:hAnsi="Consolas"/>
        </w:rPr>
        <w:t>writers/berna-aksoy/warm.md</w:t>
      </w:r>
    </w:p>
    <w:p>
      <w:pPr>
        <w:pStyle w:val="ListBullet"/>
      </w:pPr>
      <w:r>
        <w:rPr>
          <w:rFonts w:ascii="Consolas" w:hAnsi="Consolas"/>
        </w:rPr>
        <w:t>src/pages/hormonal-gecis/perimenopoz/perimenopoz-ilk-isaretler.astro</w:t>
      </w:r>
    </w:p>
    <w:p>
      <w:pPr>
        <w:pStyle w:val="ListBullet"/>
      </w:pPr>
      <w:r>
        <w:rPr>
          <w:rFonts w:ascii="Consolas" w:hAnsi="Consolas"/>
        </w:rPr>
        <w:t>src/data/article-faqs.ts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