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TREINAMENTO TOTVS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04/07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MASHUPS - verificar o funcionamento dos mashups no SGE, tem vários recurso legais, como checar cadastro com a Receita, CEP, etc. Validações e fórmulas visuais podem ser criadas usando mashups.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http://wikihelp.totvs.com.br/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Fórmula Visual “Ativado com Exceções” significa que só vai passar se todo o fluxo for concluído.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Cláusula de condições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Condition: 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Declarative Rule Condition: é utilizada quando é necessário indicar a tabela, valores, etc. Vai escrever a sintaxe.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for usar Consulta SQL, nas propriedades para vincular o campo da SQL com o campo que virá da fórmula, deve-se renomear o Fields[0] para o nome que está na SQL no :NOMEDOCAMPO.</w:t>
        <w:br w:type="textWrapping"/>
      </w:r>
      <w:r w:rsidDel="00000000" w:rsidR="00000000" w:rsidRPr="00000000">
        <w:drawing>
          <wp:inline distB="114300" distT="114300" distL="114300" distR="114300">
            <wp:extent cx="5731200" cy="5448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 FROM GLINKSREL - tabela do dicionário de dados do RM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ikihelp.totvs.com.br/" TargetMode="External"/><Relationship Id="rId6" Type="http://schemas.openxmlformats.org/officeDocument/2006/relationships/image" Target="media/image01.png"/></Relationships>
</file>