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28575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/>
        <w:jc w:val="center"/>
      </w:pPr>
      <w:r>
        <w:rPr>
          <w:b/>
          <w:bCs/>
          <w:color w:val="213A5C"/>
          <w:sz w:val="32"/>
          <w:szCs w:val="32"/>
        </w:rPr>
        <w:t xml:space="preserve">Brief Jurídico Completo — 30 Perguntas para Parecer</w:t>
      </w:r>
    </w:p>
    <w:p>
      <w:pPr>
        <w:spacing w:after="4"/>
        <w:jc w:val="center"/>
      </w:pPr>
      <w:r>
        <w:rPr>
          <w:color w:val="5b6470"/>
          <w:sz w:val="19"/>
          <w:szCs w:val="19"/>
        </w:rPr>
        <w:t xml:space="preserve">Plataforma Évora Oversight · Gabinete da Vereadora Tatiane Costa</w:t>
      </w:r>
    </w:p>
    <w:p>
      <w:pPr>
        <w:spacing w:after="200"/>
        <w:jc w:val="center"/>
      </w:pPr>
      <w:r>
        <w:rPr>
          <w:i/>
          <w:iCs/>
          <w:color w:val="5b6470"/>
          <w:sz w:val="16"/>
          <w:szCs w:val="16"/>
        </w:rPr>
        <w:t xml:space="preserve">Para parecer da Dra. Íria · Confidencial · Eng. Luiz Gonzaga Filho</w:t>
      </w:r>
    </w:p>
    <w:p>
      <w:pPr>
        <w:spacing w:after="100"/>
      </w:pPr>
      <w:r>
        <w:rPr>
          <w:color w:val="23272e"/>
          <w:sz w:val="21"/>
          <w:szCs w:val="21"/>
        </w:rPr>
        <w:t xml:space="preserve">Dra. Íria, este documento reúne todas as questões jurídicas que precisam do seu parecer antes da operação plena do Évora Oversight. Cada pergunta traz um exemplo prático que ilustra o problema concreto, e uma indicação de base legal (LGPD e outras normas) ao lado, para facilitar a sua pesquisa. Abaixo de cada questão há espaço para o seu parecer.</w:t>
      </w:r>
    </w:p>
    <w:p>
      <w:pPr>
        <w:pBdr>
          <w:bottom w:val="single" w:color="e0d9c8" w:sz="6" w:space="4"/>
        </w:pBdr>
        <w:spacing w:after="80" w:before="300"/>
      </w:pPr>
      <w:r>
        <w:rPr>
          <w:b/>
          <w:bCs/>
          <w:color w:val="213A5C"/>
          <w:sz w:val="26"/>
          <w:szCs w:val="26"/>
        </w:rPr>
        <w:t xml:space="preserve">O que é o Évora — em 2 minutos, com exemplos</w:t>
      </w:r>
    </w:p>
    <w:p>
      <w:pPr>
        <w:spacing w:after="100"/>
      </w:pPr>
      <w:r>
        <w:rPr>
          <w:color w:val="23272e"/>
          <w:sz w:val="21"/>
          <w:szCs w:val="21"/>
        </w:rPr>
        <w:t xml:space="preserve">O Évora Oversight é uma plataforma que funciona como uma equipe de assistentes digitais a serviço do gabinete. Todos os dias ele lê fontes públicas — o Diário Oficial do município, o portal nacional de contratações (PNCP), os jornais de Sorocaba — e organiza o que importa para o mandato. Ele informa, sinaliza e registra; quem decide é sempre a vereadora ou o responsável humano. Tudo o que o sistema faz fica gravado numa trilha de auditoria que não pode ser apagada.</w:t>
      </w:r>
    </w:p>
    <w:p>
      <w:pPr>
        <w:spacing w:after="100"/>
      </w:pPr>
      <w:r>
        <w:rPr>
          <w:i/>
          <w:iCs/>
          <w:color w:val="5b6470"/>
          <w:sz w:val="21"/>
          <w:szCs w:val="21"/>
        </w:rPr>
        <w:t xml:space="preserve">Exemplo — O briefing das 06:45: a vereadora acorda e encontra no celular um resumo do dia, com a fonte de cada item (o jornal, a edição do Diário, a data). Exemplo — O radar de nomeações: o sistema lê o Diário Oficial e lista quem foi nomeado e exonerado; se um nome coincide com uma lista de interesse, ele sinaliza “sugiro verificar” — nunca acusa. Exemplo — A campanha: no período eleitoral, uma vertical separada (isolada do gabinete) apoia a candidatura, com um financeiro que registra cada doação e cada nota fiscal para a prestação de contas ao TSE.</w:t>
      </w:r>
    </w:p>
    <w:p>
      <w:pPr>
        <w:spacing w:after="100"/>
      </w:pPr>
      <w:r>
        <w:rPr>
          <w:i/>
          <w:iCs/>
          <w:color w:val="5b6470"/>
          <w:sz w:val="21"/>
          <w:szCs w:val="21"/>
        </w:rPr>
        <w:t xml:space="preserve">As perguntas estão em 7 frentes de risco. As de LGPD (Frente 4) e de separação de mundos (Frente 7) são as mais urgentes para o lançamento.</w:t>
      </w:r>
    </w:p>
    <w:p>
      <w:r>
        <w:br w:type="page"/>
      </w:r>
    </w:p>
    <w:p>
      <w:pPr>
        <w:pBdr>
          <w:bottom w:val="single" w:color="e0d9c8" w:sz="6" w:space="4"/>
        </w:pBdr>
        <w:spacing w:after="80" w:before="300"/>
      </w:pPr>
      <w:r>
        <w:rPr>
          <w:b/>
          <w:bCs/>
          <w:color w:val="213A5C"/>
          <w:sz w:val="26"/>
          <w:szCs w:val="26"/>
        </w:rPr>
        <w:t xml:space="preserve">Legenda das siglas usadas neste documento</w:t>
      </w:r>
    </w:p>
    <w:p>
      <w:pPr>
        <w:spacing w:after="100"/>
      </w:pPr>
      <w:r>
        <w:rPr>
          <w:i/>
          <w:iCs/>
          <w:color w:val="5b6470"/>
          <w:sz w:val="21"/>
          <w:szCs w:val="21"/>
        </w:rPr>
        <w:t xml:space="preserve">Para facilitar a leitura, seguem as siglas citadas. As primeiras são os componentes internos do Évora; as demais são termos jurídicos, técnicos e institucionais de referência.</w:t>
      </w:r>
    </w:p>
    <w:p>
      <w:pPr>
        <w:spacing w:after="80" w:before="160"/>
      </w:pPr>
      <w:r>
        <w:rPr>
          <w:b/>
          <w:bCs/>
          <w:color w:val="8f7740"/>
          <w:sz w:val="22"/>
          <w:szCs w:val="22"/>
        </w:rPr>
        <w:t xml:space="preserve">Componentes do Évora Oversight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Évora Oversight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A plataforma de inteligência política legislativa, como um todo.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Bia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A gestora de IA do mundo Gabinete (mandato).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Nil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A gestora de IA do mundo Campanha (eleitoral), separada do gabinete.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AFEx-g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Agente de Fiscalização do Executivo (radar de nomeações e análise de contratos).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AFC-p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Agente Financeiro de Campanha (doações, notas fiscais, teto de gastos, prestação de contas ao TSE).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ADC-g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Agente de Demandas Cidadãs (registro de demandas e acompanhamento de requerimentos).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AIM-g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Agente de Inteligência e Monitoramento (briefing diário e monitoramento de imprensa).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APL-g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Agente de Projetos de Lei (tramitação legislativa).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AAS-Évora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Auditoria Soberana do Évora (a trilha de auditoria imutável, acima de todos).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GOM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Gestão Orçamentária do Mandato (financeiro do gabinete: folha de assessores, contratos, custos).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COM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Coletores Oficiais Municipais (o módulo que coleta os diários oficiais em escala).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CRM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Cadastro de Relacionamentos (contatos políticos e institucionais com histórico).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CVI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Selo de Certificação/Verificação da Informação (marca a origem e o grau de confiança de cada dado).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VRX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A operação de manutenção técnica do sistema (administração e suporte).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GEC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Grupo Évora de Comunicação (a comunicação interna do gabinete).</w:t>
      </w:r>
    </w:p>
    <w:p>
      <w:pPr>
        <w:spacing w:after="80" w:before="200"/>
      </w:pPr>
      <w:r>
        <w:rPr>
          <w:b/>
          <w:bCs/>
          <w:color w:val="8f7740"/>
          <w:sz w:val="22"/>
          <w:szCs w:val="22"/>
        </w:rPr>
        <w:t xml:space="preserve">Termos jurídicos, técnicos e institucionais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LGPD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Lei Geral de Proteção de Dados (Lei nº 13.709/2018).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ANPD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Autoridade Nacional de Proteção de Dados (o órgão fiscalizador da LGPD).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DPIA / RIPD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Relatório de Impacto à Proteção de Dados Pessoais (avaliação de risco exigível pela LGPD).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TSE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Tribunal Superior Eleitoral (regras de campanha e prestação de contas).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SPCE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Sistema de Prestação de Contas Eleitorais do TSE.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PNCP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Portal Nacional de Contratações Públicas (base de contratos e licitações).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LAI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Lei de Acesso à Informação (Lei nº 12.527/2011).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CLT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Consolidação das Leis do Trabalho (relações de emprego dos assessores).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NDA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Acordo de Confidencialidade (Non-Disclosure Agreement).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CF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Constituição Federal.</w:t>
      </w:r>
    </w:p>
    <w:p>
      <w:pPr>
        <w:spacing w:after="70"/>
      </w:pPr>
      <w:r>
        <w:rPr>
          <w:b/>
          <w:bCs/>
          <w:color w:val="213A5C"/>
          <w:sz w:val="20"/>
          <w:szCs w:val="20"/>
        </w:rPr>
        <w:t xml:space="preserve">TCE-SP</w:t>
      </w:r>
      <w:r>
        <w:rPr>
          <w:color w:val="5b6470"/>
          <w:sz w:val="20"/>
          <w:szCs w:val="20"/>
        </w:rPr>
        <w:t xml:space="preserve">  —  </w:t>
      </w:r>
      <w:r>
        <w:rPr>
          <w:color w:val="23272e"/>
          <w:sz w:val="20"/>
          <w:szCs w:val="20"/>
        </w:rPr>
        <w:t xml:space="preserve">Tribunal de Contas do Estado de São Paulo.</w:t>
      </w:r>
    </w:p>
    <w:p>
      <w:r>
        <w:br w:type="pag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1 — Fiscalização do Executivo (AFEx-g)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 </w:t>
      </w:r>
      <w:r>
        <w:rPr>
          <w:b/>
          <w:bCs/>
          <w:color w:val="23272e"/>
          <w:sz w:val="22"/>
          <w:szCs w:val="22"/>
        </w:rPr>
        <w:t xml:space="preserve">  A sinalização interna de indício está protegida contra difamação e denunciação caluniosa? Que linguagem mitiga o risco?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sistema detecta que um contrato saiu 31% acima da mediana de preços e escreve “sugiro verificar” ao assessor. Isso é uma sinalização interna, não uma acusação pública — mas queremos garantir que a forma de registrar não gere risco jurídico.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Código Penal, arts. 138–140 (calúnia, difamação, injúria) e art. 339 (denunciação caluniosa). CF art. 31 (fiscalização do Legislativo).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 </w:t>
      </w:r>
      <w:r>
        <w:rPr>
          <w:b/>
          <w:bCs/>
          <w:color w:val="23272e"/>
          <w:sz w:val="22"/>
          <w:szCs w:val="22"/>
        </w:rPr>
        <w:t xml:space="preserve">  Quais os limites legais para o gabinete usar dados públicos (Diário Oficial, PNCP) na fiscalização do Executivo?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lê diariamente o Diário Oficial e o PNCP para montar o radar de nomeações e a análise de contratos. São dados públicos, mas queremos confirmar os limites de uso e cruzamento.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de Acesso à Informação (Lei 12.527/2011). LGPD (Lei 13.709/2018) art. 7º, §3º (dados tornados públicos) e art. 4º. CF art. 31.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3 </w:t>
      </w:r>
      <w:r>
        <w:rPr>
          <w:b/>
          <w:bCs/>
          <w:color w:val="23272e"/>
          <w:sz w:val="22"/>
          <w:szCs w:val="22"/>
        </w:rPr>
        <w:t xml:space="preserve">  Que cuidados são exigidos antes de qualquer providência externa baseada numa sinalização?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sistema sinaliza um indício; a vereadora cogita transformar isso em requerimento formal ou ofício ao Executivo. Que verificação deve preceder esse passo externo?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CF art. 31; Regimento Interno da Câmara (Resolução 322/2007); Lei Orgânica do Município de Sorocaba.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2 — Dois lados (fiscalizar e, à parte, atender o Executivo)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4 </w:t>
      </w:r>
      <w:r>
        <w:rPr>
          <w:b/>
          <w:bCs/>
          <w:color w:val="23272e"/>
          <w:sz w:val="22"/>
          <w:szCs w:val="22"/>
        </w:rPr>
        <w:t xml:space="preserve">  É juridicamente seguro o mesmo grupo oferecer fiscalização do Executivo e, à parte, produto ao próprio Executivo? Que separação é necessária?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pode, no futuro, vender ao gabinete (que fiscaliza a prefeitura) e também prestar serviço a órgãos do Executivo. Queremos saber que separação societária/contratual evita conflito.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8.429/1992 (improbidade); Lei 14.133/2021 (licitações, conflito de interesse); Lei 12.813/2013 (conflito de interesses).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5 </w:t>
      </w:r>
      <w:r>
        <w:rPr>
          <w:b/>
          <w:bCs/>
          <w:color w:val="23272e"/>
          <w:sz w:val="22"/>
          <w:szCs w:val="22"/>
        </w:rPr>
        <w:t xml:space="preserve">  Há risco concorrencial ou de conflito de interesse a mitigar nessa dupla atuação?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Atender “os dois lados” pode ser visto como conflito. Que barreiras (contratuais, de dados) descaracterizam o risco?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12.529/2011 (defesa da concorrência); Lei 12.813/2013.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3 — Gravações e Sentinela (proteção da autoridade)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6 </w:t>
      </w:r>
      <w:r>
        <w:rPr>
          <w:b/>
          <w:bCs/>
          <w:color w:val="23272e"/>
          <w:sz w:val="22"/>
          <w:szCs w:val="22"/>
        </w:rPr>
        <w:t xml:space="preserve">  Quais as regras para gravação de áudio/imagem pelo módulo de proteção (consentimento, finalidade, retenção)?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A vereadora anda blindada por ameaças; um módulo Sentinela poderia registrar áudio/imagem em situações de risco. Queremos saber o que é permitido.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arts. 7º e 11 (dado sensível: biometria); CF art. 5º, X (intimidade); Lei 13.709/2018. Marco Civil (Lei 12.965/2014).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7 </w:t>
      </w:r>
      <w:r>
        <w:rPr>
          <w:b/>
          <w:bCs/>
          <w:color w:val="23272e"/>
          <w:sz w:val="22"/>
          <w:szCs w:val="22"/>
        </w:rPr>
        <w:t xml:space="preserve">  Em que situações a gravação é vedada ou exige autorização específica?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Gravar uma reunião fechada, ou ambiente com terceiros que não consentiram, pode ser vedado. Onde está a linha?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CF art. 5º, X e XII; Código Penal art. 10 da Lei 9.296/1996 (interceptação); LGPD art. 11.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4 — LGPD — a mais urgente para o lançamento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8 </w:t>
      </w:r>
      <w:r>
        <w:rPr>
          <w:b/>
          <w:bCs/>
          <w:color w:val="23272e"/>
          <w:sz w:val="22"/>
          <w:szCs w:val="22"/>
        </w:rPr>
        <w:t xml:space="preserve">  Qual a base legal adequada para tratar dados do cidadão nas Demandas (consentimento, legítimo interesse, exercício de poder público)?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Um morador registra uma reclamação (buraco na rua) com nome, telefone e foto com GPS. Precisamos definir a base legal desse tratamento.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7º (bases legais); art. 7º, II (obrigação legal), V (execução de política pública), IX (legítimo interesse); art. 23 (poder público).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9 </w:t>
      </w:r>
      <w:r>
        <w:rPr>
          <w:b/>
          <w:bCs/>
          <w:color w:val="23272e"/>
          <w:sz w:val="22"/>
          <w:szCs w:val="22"/>
        </w:rPr>
        <w:t xml:space="preserve">  Qual o conteúdo mínimo do termo de consentimento das Demandas?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Quando o cidadão registra a demanda, que texto de consentimento ele deve aceitar (finalidade, retenção, direitos)?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8º (consentimento) e art. 9º (informação ao titular); art. 18 (direitos do titular).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10 </w:t>
      </w:r>
      <w:r>
        <w:rPr>
          <w:b/>
          <w:bCs/>
          <w:color w:val="23272e"/>
          <w:sz w:val="22"/>
          <w:szCs w:val="22"/>
        </w:rPr>
        <w:t xml:space="preserve">  É exigível relatório de impacto (DPIA) e para quais módulos?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Módulos que tratam muitos dados de cidadãos (Demandas, CRM) ou dados sensíveis (Sentinela, estado emocional) podem exigir DPIA.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5º, XVII (RIPD/DPIA) e art. 38 (a ANPD pode exigir).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11 </w:t>
      </w:r>
      <w:r>
        <w:rPr>
          <w:b/>
          <w:bCs/>
          <w:color w:val="23272e"/>
          <w:sz w:val="22"/>
          <w:szCs w:val="22"/>
        </w:rPr>
        <w:t xml:space="preserve">  Como tratar dado sensível (saúde, opinião política, convicção religiosa) e qual a retenção/descarte?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quadro “Como Estou Hoje” registra estado emocional (dado de saúde); as mensagens da Bia podem tocar convicção religiosa (opt-in); demandas podem revelar opinião política.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11 (dados sensíveis) e art. 16 (eliminação/retenção); art. 11, §1º.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12 </w:t>
      </w:r>
      <w:r>
        <w:rPr>
          <w:b/>
          <w:bCs/>
          <w:color w:val="23272e"/>
          <w:sz w:val="22"/>
          <w:szCs w:val="22"/>
        </w:rPr>
        <w:t xml:space="preserve">  Como atender aos direitos do titular (acesso, correção, eliminação)?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Um cidadão pede para ver ou apagar seus dados. Como o Évora deve responder e em que prazo?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18 (direitos do titular) e art. 19 (prazos e forma).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13 </w:t>
      </w:r>
      <w:r>
        <w:rPr>
          <w:b/>
          <w:bCs/>
          <w:color w:val="23272e"/>
          <w:sz w:val="22"/>
          <w:szCs w:val="22"/>
        </w:rPr>
        <w:t xml:space="preserve">  Quem é controlador e quem é operador na arquitetura multi-tenant?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hospeda os dados; a vereadora define as finalidades. Precisamos saber quem responde como controlador e quem como operador.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5º, VI e VII (controlador/operador) e art. 37–39 (responsabilidades).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5 — Eleitoral (TSE 2026) e estrutura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14 </w:t>
      </w:r>
      <w:r>
        <w:rPr>
          <w:b/>
          <w:bCs/>
          <w:color w:val="23272e"/>
          <w:sz w:val="22"/>
          <w:szCs w:val="22"/>
        </w:rPr>
        <w:t xml:space="preserve">  Quais regras do TSE 2026 impactam o uso de dados e a comunicação na campanha?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A vertical de campanha (Nil) usa dados de eleitores por região e produz comunicação. Que regras do TSE limitam isso?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9.504/1997 (eleições); Resoluções do TSE para 2026; LGPD art. 7º e 11 (dado de opinião política = sensível).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15 </w:t>
      </w:r>
      <w:r>
        <w:rPr>
          <w:b/>
          <w:bCs/>
          <w:color w:val="23272e"/>
          <w:sz w:val="22"/>
          <w:szCs w:val="22"/>
        </w:rPr>
        <w:t xml:space="preserve">  Como deve ser a prestação de contas de eventuais serviços prestados à campanha?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Se o Évora prestar serviço à campanha, isso precisa constar na prestação de contas eleitoral (SPCE).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9.504/1997 arts. 28–32; Resolução TSE de prestação de contas; sistema SPCE.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16 </w:t>
      </w:r>
      <w:r>
        <w:rPr>
          <w:b/>
          <w:bCs/>
          <w:color w:val="23272e"/>
          <w:sz w:val="22"/>
          <w:szCs w:val="22"/>
        </w:rPr>
        <w:t xml:space="preserve">  Há vedação ao uso de IA na propaganda eleitoral a observar?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A Bia/Nil pode gerar textos e peças. O TSE tem regras sobre IA e conteúdo sintético na propaganda de 2026.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Resolução TSE 23.732/2024 (e atualizações) sobre IA e deepfake na propaganda; Lei 9.504/1997.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17 </w:t>
      </w:r>
      <w:r>
        <w:rPr>
          <w:b/>
          <w:bCs/>
          <w:color w:val="23272e"/>
          <w:sz w:val="22"/>
          <w:szCs w:val="22"/>
        </w:rPr>
        <w:t xml:space="preserve">  Que estrutura societária protege melhor a propriedade intelectual e limita a responsabilidade?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é criação do fundador. Que estrutura (empresa, contrato) protege a PI e limita a responsabilidade pessoal?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Código Civil (sociedades); Lei 9.279/1996 (propriedade industrial); Lei 9.610/1998 (direito autoral/software) e Lei 9.609/1998.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18 </w:t>
      </w:r>
      <w:r>
        <w:rPr>
          <w:b/>
          <w:bCs/>
          <w:color w:val="23272e"/>
          <w:sz w:val="22"/>
          <w:szCs w:val="22"/>
        </w:rPr>
        <w:t xml:space="preserve">  Que cláusulas de sigilo e de PI devem constar nos contratos com autoridades e parceiros?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Contratos com o gabinete e com parceiros precisam de sigilo e de proteção da PI do Évora.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9.609/1998 (software); LGPD art. 6º (segurança); cláusulas de confidencialidade (NDA).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6 — Módulos novos (finanças, orçamento, relacionamentos, voluntários, coleta em escala)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19 </w:t>
      </w:r>
      <w:r>
        <w:rPr>
          <w:b/>
          <w:bCs/>
          <w:color w:val="23272e"/>
          <w:sz w:val="22"/>
          <w:szCs w:val="22"/>
        </w:rPr>
        <w:t xml:space="preserve">  Financeiro de Campanha (AFC-p): que requisitos legais o registro deve atender para servir de base ao SPCE? Há fontes vedadas a bloquear?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Cada doação é registrada com CPF/CNPJ do doador e recibo; cada gasto com nota fiscal. Fontes vedadas (ex.: origem estrangeira) devem ser bloqueadas.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9.504/1997 arts. 23–27 (doações e fontes vedadas); Resolução TSE de arrecadação e gastos; sistema SPCE.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20 </w:t>
      </w:r>
      <w:r>
        <w:rPr>
          <w:b/>
          <w:bCs/>
          <w:color w:val="23272e"/>
          <w:sz w:val="22"/>
          <w:szCs w:val="22"/>
        </w:rPr>
        <w:t xml:space="preserve">  Financeiro de Campanha: o registro imutável (correção só por estorno) atende à escrituração eleitoral? Cuidado com a guarda dos documentos digitalizados?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nunca apaga um lançamento — corrige por estorno registrado. Queremos confirmar que isso atende à exigência de escrituração.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9.504/1997; Resolução TSE de prestação de contas; LGPD art. 16 (guarda) e art. 37 (registro de operações).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21 </w:t>
      </w:r>
      <w:r>
        <w:rPr>
          <w:b/>
          <w:bCs/>
          <w:color w:val="23272e"/>
          <w:sz w:val="22"/>
          <w:szCs w:val="22"/>
        </w:rPr>
        <w:t xml:space="preserve">  Gestão Orçamentária do Mandato (GOM): a folha de assessores envolve dado de trabalhador — qual a base legal (LGPD + CLT) e que limites de acesso e retenção aplicar?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GOM controlaria salários, encargos, férias e afastamentos de assessores (relevante para deputados). São dados pessoais de trabalhadores.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7º, II (obrigação legal) e art. 11 (se houver dado sensível); CLT; princípios de finalidade e necessidade (art. 6º).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22 </w:t>
      </w:r>
      <w:r>
        <w:rPr>
          <w:b/>
          <w:bCs/>
          <w:color w:val="23272e"/>
          <w:sz w:val="22"/>
          <w:szCs w:val="22"/>
        </w:rPr>
        <w:t xml:space="preserve">  CRM de Relacionamentos: qual a base legal para manter cadastro de contatos políticos com histórico, e como operacionalizar os direitos do titular?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gabinete cadastra lideranças, prefeitos e apoiadores com histórico de interações. É dado pessoal de terceiros.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7º, IX (legítimo interesse) e art. 10; art. 18 (direitos); art. 11 se revelar opinião política (sensível).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23 </w:t>
      </w:r>
      <w:r>
        <w:rPr>
          <w:b/>
          <w:bCs/>
          <w:color w:val="23272e"/>
          <w:sz w:val="22"/>
          <w:szCs w:val="22"/>
        </w:rPr>
        <w:t xml:space="preserve">  Voluntários de campanha: qual o conteúdo mínimo do termo de consentimento e a retenção/descarte após o pleito?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A campanha cadastra voluntários (nome, contato, região, disponibilidade) sob termo LGPD. Após a eleição, o que fazer com os dados?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8º (consentimento) e art. 16 (eliminação após a finalidade); art. 15 (término do tratamento).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24 </w:t>
      </w:r>
      <w:r>
        <w:rPr>
          <w:b/>
          <w:bCs/>
          <w:color w:val="23272e"/>
          <w:sz w:val="22"/>
          <w:szCs w:val="22"/>
        </w:rPr>
        <w:t xml:space="preserve">  Coletores Oficiais (COM): há restrição ao processamento automatizado e em escala de diários oficiais e portais públicos? Cuidado com dados pessoais nos atos (nomes de servidores)?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coletará diários oficiais de muitos municípios automaticamente. Os atos contêm nomes de servidores (nomeados/exonerados).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LAI (Lei 12.527/2011); LGPD art. 7º, §3º (dados públicos) e art. 4º, III (uso jornalístico/acadêmico); finalidade (art. 6º).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7 — Separação de mundos, infraestrutura e prova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25 </w:t>
      </w:r>
      <w:r>
        <w:rPr>
          <w:b/>
          <w:bCs/>
          <w:color w:val="23272e"/>
          <w:sz w:val="22"/>
          <w:szCs w:val="22"/>
        </w:rPr>
        <w:t xml:space="preserve">  A separação lógica (mesmo servidor, bancos/chaves/permissões isolados) é juridicamente suficiente para separar gabinete e campanha, ou exige-se separação física (hardware distinto)?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isola gabinete e campanha por software (bancos e chaves distintos), como um banco faz com contas. Isso basta juridicamente, ou a lei eleitoral exige servidores fisicamente separados?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9.504/1997 (uso de recurso público em campanha); LGPD art. 6º (segurança) e art. 46 (medidas de segurança); Lei 8.429/1992.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26 </w:t>
      </w:r>
      <w:r>
        <w:rPr>
          <w:b/>
          <w:bCs/>
          <w:color w:val="23272e"/>
          <w:sz w:val="22"/>
          <w:szCs w:val="22"/>
        </w:rPr>
        <w:t xml:space="preserve">  O que o Évora precisa PROVAR numa fiscalização do TSE quanto ao não uso de recurso público (gabinete) na campanha? Que evidências são aceitas?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Numa auditoria, precisamos demonstrar que nenhum recurso ou dado do gabinete financiou/beneficiou a campanha. Que provas o TSE aceita (trilha, relatório de isolamento)?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9.504/1997 arts. 73–78 (condutas vedadas); Resolução TSE de prestação de contas; Lei 8.429/1992.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27 </w:t>
      </w:r>
      <w:r>
        <w:rPr>
          <w:b/>
          <w:bCs/>
          <w:color w:val="23272e"/>
          <w:sz w:val="22"/>
          <w:szCs w:val="22"/>
        </w:rPr>
        <w:t xml:space="preserve">  Qual o modelo de hospedagem juridicamente mais seguro (nuvem, servidor no gabinete, híbrido)? Há dado que a lei exija manter em local específico?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Estamos decidindo entre nuvem e servidor físico no gabinete. Queremos o modelo mais seguro juridicamente e saber se algum dado exige localização específica.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46 (segurança) e art. 33 (transferência internacional, se a nuvem for no exterior); guias da ANPD.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28 </w:t>
      </w:r>
      <w:r>
        <w:rPr>
          <w:b/>
          <w:bCs/>
          <w:color w:val="23272e"/>
          <w:sz w:val="22"/>
          <w:szCs w:val="22"/>
        </w:rPr>
        <w:t xml:space="preserve">  Na arquitetura multi-tenant, quem é controlador e quem é operador dos dados — e isso muda entre gabinete e campanha?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No mundo gabinete o controlador pode ser a vereadora; no mundo campanha, talvez a campanha/partido. Precisamos definir os papéis em cada mundo.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5º, VI e VII; art. 37–39; legislação eleitoral sobre responsabilidade da campanha.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29 </w:t>
      </w:r>
      <w:r>
        <w:rPr>
          <w:b/>
          <w:bCs/>
          <w:color w:val="23272e"/>
          <w:sz w:val="22"/>
          <w:szCs w:val="22"/>
        </w:rPr>
        <w:t xml:space="preserve">  Que documento ou cláusula formaliza, perante a tenant e terceiros, a garantia de separação dos mundos (contrato, política de segurança, DPIA)?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Queremos um instrumento que a vereadora e terceiros possam ver, garantindo por escrito a separação gabinete/campanha.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50 (boas práticas e governança); contrato de prestação de serviço; política de segurança da informação; DPIA.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30 </w:t>
      </w:r>
      <w:r>
        <w:rPr>
          <w:b/>
          <w:bCs/>
          <w:color w:val="23272e"/>
          <w:sz w:val="22"/>
          <w:szCs w:val="22"/>
        </w:rPr>
        <w:t xml:space="preserve">  A prova de separação que mostraremos à tenant (relatório de isolamento + teste ao vivo) tem valor jurídico, ou exige laudo/auditoria independente?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Pretendemos provar a separação com um relatório do próprio sistema e um teste ao vivo (criar dado na campanha e mostrar que não aparece no gabinete). Isso tem valor, ou precisa de auditor externo?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6º, X (responsabilização e prestação de contas); normas de perícia; boas práticas de auditoria de sistemas (ex.: ISO 27001, se aplicável).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pBdr>
          <w:top w:val="single" w:color="e0d9c8" w:sz="6" w:space="8"/>
        </w:pBdr>
        <w:spacing w:before="280"/>
        <w:jc w:val="center"/>
      </w:pPr>
      <w:r>
        <w:rPr>
          <w:i/>
          <w:iCs/>
          <w:color w:val="5b6470"/>
          <w:sz w:val="18"/>
          <w:szCs w:val="18"/>
        </w:rPr>
        <w:t xml:space="preserve">Prioridade para as Frentes 4 (LGPD), 7 (Separação de mundos) e itens 19–20 e 25–26 — são as que destravam o lançamento e a fase de campanha. Obrigado, Dra. Íria.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6de6fa60f6d8e5914071e8d36b582b77d9a7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Jurídico Completo — 30 Perguntas</dc:title>
  <dc:creator>Évora Oversight</dc:creator>
  <cp:lastModifiedBy>Un-named</cp:lastModifiedBy>
  <cp:revision>1</cp:revision>
  <dcterms:created xsi:type="dcterms:W3CDTF">2026-07-12T22:04:17.473Z</dcterms:created>
  <dcterms:modified xsi:type="dcterms:W3CDTF">2026-07-12T22:04:17.487Z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