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2190750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/>
        <w:jc w:val="center"/>
      </w:pPr>
      <w:r>
        <w:rPr>
          <w:b/>
          <w:bCs/>
          <w:color w:val="213A5C"/>
          <w:sz w:val="30"/>
          <w:szCs w:val="30"/>
        </w:rPr>
        <w:t xml:space="preserve">Brief Jurídico — As 18 Perguntas para Parecer</w:t>
      </w:r>
    </w:p>
    <w:p>
      <w:pPr>
        <w:spacing w:after="6"/>
        <w:jc w:val="center"/>
      </w:pPr>
      <w:r>
        <w:rPr>
          <w:color w:val="5b6470"/>
          <w:sz w:val="19"/>
          <w:szCs w:val="19"/>
        </w:rPr>
        <w:t xml:space="preserve">Évora Oversight · Plataforma de inteligência política legislativa</w:t>
      </w:r>
    </w:p>
    <w:p>
      <w:pPr>
        <w:spacing w:after="200"/>
        <w:jc w:val="center"/>
      </w:pPr>
      <w:r>
        <w:rPr>
          <w:i/>
          <w:iCs/>
          <w:color w:val="5b6470"/>
          <w:sz w:val="16"/>
          <w:szCs w:val="16"/>
        </w:rPr>
        <w:t xml:space="preserve">Para parecer da Dra. Íria · Confidencial — Eng. Luiz Gonzaga Filho</w:t>
      </w:r>
    </w:p>
    <w:p>
      <w:pPr>
        <w:spacing w:after="100"/>
      </w:pPr>
      <w:r>
        <w:rPr>
          <w:color w:val="23272e"/>
          <w:sz w:val="21"/>
          <w:szCs w:val="21"/>
        </w:rPr>
        <w:t xml:space="preserve">Dra. Íria, este documento reúne as 18 questões jurídicas que precisam de parecer antes da operação plena do Évora Oversight — a plataforma de inteligência que o gabinete usará no mandato da vereadora Tatiane Costa. Estão organizadas por frente de risco. Abaixo de cada pergunta há espaço para o seu parecer. As perguntas de LGPD (Frente 4) e a base legal das demandas são as de maior urgência para o lançamento (MVP).</w:t>
      </w:r>
    </w:p>
    <w:p>
      <w:pPr>
        <w:spacing w:after="100"/>
      </w:pPr>
      <w:r>
        <w:rPr>
          <w:i/>
          <w:iCs/>
          <w:color w:val="5b6470"/>
          <w:sz w:val="21"/>
          <w:szCs w:val="21"/>
        </w:rPr>
        <w:t xml:space="preserve">Contexto rápido da plataforma: o Évora lê fontes públicas (Diário Oficial, PNCP, imprensa) e entrega ao gabinete um briefing diário, um radar de nomeações do Executivo, fiscalização por indício (nunca acusação) e o registro de demandas do cidadão. Nenhum agente publica ou decide sozinho — a autoridade sempre decide. Tudo fica em trilha auditável.</w:t>
      </w:r>
    </w:p>
    <w:p>
      <w:pPr>
        <w:pBdr>
          <w:bottom w:val="single" w:color="e0d9c8" w:sz="6" w:space="4"/>
        </w:pBdr>
        <w:spacing w:after="60" w:before="280"/>
      </w:pPr>
      <w:r>
        <w:rPr>
          <w:b/>
          <w:bCs/>
          <w:color w:val="213A5C"/>
          <w:sz w:val="25"/>
          <w:szCs w:val="25"/>
        </w:rPr>
        <w:t xml:space="preserve">Frente 1 — Fiscalização (AFEx-g — Fiscalização do Executivo)</w:t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1 </w:t>
      </w:r>
      <w:r>
        <w:rPr>
          <w:b/>
          <w:bCs/>
          <w:color w:val="23272e"/>
          <w:sz w:val="21"/>
          <w:szCs w:val="21"/>
        </w:rPr>
        <w:t xml:space="preserve">  A sinalização interna de indício do AFEx-g está protegida contra difamação e denunciação caluniosa? Que linguagem mitiga o risco?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2 </w:t>
      </w:r>
      <w:r>
        <w:rPr>
          <w:b/>
          <w:bCs/>
          <w:color w:val="23272e"/>
          <w:sz w:val="21"/>
          <w:szCs w:val="21"/>
        </w:rPr>
        <w:t xml:space="preserve">  Quais os limites legais para o gabinete usar dados públicos (Diário Oficial, PNCP) na fiscalização do Executivo (CF, art. 31)?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3 </w:t>
      </w:r>
      <w:r>
        <w:rPr>
          <w:b/>
          <w:bCs/>
          <w:color w:val="23272e"/>
          <w:sz w:val="21"/>
          <w:szCs w:val="21"/>
        </w:rPr>
        <w:t xml:space="preserve">  Que cuidados são exigidos antes de qualquer providência externa baseada numa sinalização?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pBdr>
          <w:bottom w:val="single" w:color="e0d9c8" w:sz="6" w:space="4"/>
        </w:pBdr>
        <w:spacing w:after="60" w:before="280"/>
      </w:pPr>
      <w:r>
        <w:rPr>
          <w:b/>
          <w:bCs/>
          <w:color w:val="213A5C"/>
          <w:sz w:val="25"/>
          <w:szCs w:val="25"/>
        </w:rPr>
        <w:t xml:space="preserve">Frente 2 — Dois lados (fiscalizar e, à parte, atender o Executivo)</w:t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4 </w:t>
      </w:r>
      <w:r>
        <w:rPr>
          <w:b/>
          <w:bCs/>
          <w:color w:val="23272e"/>
          <w:sz w:val="21"/>
          <w:szCs w:val="21"/>
        </w:rPr>
        <w:t xml:space="preserve">  É juridicamente seguro o mesmo grupo oferecer fiscalização do Executivo e, à parte, produto ao Executivo? Que separação societária/contratual é necessária?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5 </w:t>
      </w:r>
      <w:r>
        <w:rPr>
          <w:b/>
          <w:bCs/>
          <w:color w:val="23272e"/>
          <w:sz w:val="21"/>
          <w:szCs w:val="21"/>
        </w:rPr>
        <w:t xml:space="preserve">  Há risco concorrencial ou de conflito de interesse a mitigar?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pBdr>
          <w:bottom w:val="single" w:color="e0d9c8" w:sz="6" w:space="4"/>
        </w:pBdr>
        <w:spacing w:after="60" w:before="280"/>
      </w:pPr>
      <w:r>
        <w:rPr>
          <w:b/>
          <w:bCs/>
          <w:color w:val="213A5C"/>
          <w:sz w:val="25"/>
          <w:szCs w:val="25"/>
        </w:rPr>
        <w:t xml:space="preserve">Frente 3 — Gravações e Sentinela (proteção da autoridade)</w:t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6 </w:t>
      </w:r>
      <w:r>
        <w:rPr>
          <w:b/>
          <w:bCs/>
          <w:color w:val="23272e"/>
          <w:sz w:val="21"/>
          <w:szCs w:val="21"/>
        </w:rPr>
        <w:t xml:space="preserve">  Quais as regras para gravação de áudio/imagem pelo Sentinela (consentimento, finalidade, retenção)?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7 </w:t>
      </w:r>
      <w:r>
        <w:rPr>
          <w:b/>
          <w:bCs/>
          <w:color w:val="23272e"/>
          <w:sz w:val="21"/>
          <w:szCs w:val="21"/>
        </w:rPr>
        <w:t xml:space="preserve">  Em que situações a gravação é vedada ou exige autorização específica?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pBdr>
          <w:bottom w:val="single" w:color="e0d9c8" w:sz="6" w:space="4"/>
        </w:pBdr>
        <w:spacing w:after="60" w:before="280"/>
      </w:pPr>
      <w:r>
        <w:rPr>
          <w:b/>
          <w:bCs/>
          <w:color w:val="213A5C"/>
          <w:sz w:val="25"/>
          <w:szCs w:val="25"/>
        </w:rPr>
        <w:t xml:space="preserve">Frente 4 — LGPD (a mais urgente para o lançamento)</w:t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8 </w:t>
      </w:r>
      <w:r>
        <w:rPr>
          <w:b/>
          <w:bCs/>
          <w:color w:val="23272e"/>
          <w:sz w:val="21"/>
          <w:szCs w:val="21"/>
        </w:rPr>
        <w:t xml:space="preserve">  Qual a base legal adequada para tratar dados do cidadão nas Demandas (consentimento, legítimo interesse, exercício de poder público)?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9 </w:t>
      </w:r>
      <w:r>
        <w:rPr>
          <w:b/>
          <w:bCs/>
          <w:color w:val="23272e"/>
          <w:sz w:val="21"/>
          <w:szCs w:val="21"/>
        </w:rPr>
        <w:t xml:space="preserve">  Qual o conteúdo mínimo do termo de consentimento?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10 </w:t>
      </w:r>
      <w:r>
        <w:rPr>
          <w:b/>
          <w:bCs/>
          <w:color w:val="23272e"/>
          <w:sz w:val="21"/>
          <w:szCs w:val="21"/>
        </w:rPr>
        <w:t xml:space="preserve">  É exigível DPIA (relatório de impacto) e para quais módulos?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11 </w:t>
      </w:r>
      <w:r>
        <w:rPr>
          <w:b/>
          <w:bCs/>
          <w:color w:val="23272e"/>
          <w:sz w:val="21"/>
          <w:szCs w:val="21"/>
        </w:rPr>
        <w:t xml:space="preserve">  Como tratar dado sensível (saúde, opinião política) e qual a retenção/descarte?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12 </w:t>
      </w:r>
      <w:r>
        <w:rPr>
          <w:b/>
          <w:bCs/>
          <w:color w:val="23272e"/>
          <w:sz w:val="21"/>
          <w:szCs w:val="21"/>
        </w:rPr>
        <w:t xml:space="preserve">  Como atender aos direitos do titular (acesso, correção, eliminação)?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13 </w:t>
      </w:r>
      <w:r>
        <w:rPr>
          <w:b/>
          <w:bCs/>
          <w:color w:val="23272e"/>
          <w:sz w:val="21"/>
          <w:szCs w:val="21"/>
        </w:rPr>
        <w:t xml:space="preserve">  Quem é controlador e quem é operador na arquitetura multi-tenant?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pBdr>
          <w:bottom w:val="single" w:color="e0d9c8" w:sz="6" w:space="4"/>
        </w:pBdr>
        <w:spacing w:after="60" w:before="280"/>
      </w:pPr>
      <w:r>
        <w:rPr>
          <w:b/>
          <w:bCs/>
          <w:color w:val="213A5C"/>
          <w:sz w:val="25"/>
          <w:szCs w:val="25"/>
        </w:rPr>
        <w:t xml:space="preserve">Frente 5 — Eleitoral (TSE 2026) e estrutura</w:t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14 </w:t>
      </w:r>
      <w:r>
        <w:rPr>
          <w:b/>
          <w:bCs/>
          <w:color w:val="23272e"/>
          <w:sz w:val="21"/>
          <w:szCs w:val="21"/>
        </w:rPr>
        <w:t xml:space="preserve">  Quais regras do TSE 2026 impactam o uso de dados e a comunicação na campanha?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15 </w:t>
      </w:r>
      <w:r>
        <w:rPr>
          <w:b/>
          <w:bCs/>
          <w:color w:val="23272e"/>
          <w:sz w:val="21"/>
          <w:szCs w:val="21"/>
        </w:rPr>
        <w:t xml:space="preserve">  Como deve ser a prestação de contas de eventuais serviços prestados à campanha?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16 </w:t>
      </w:r>
      <w:r>
        <w:rPr>
          <w:b/>
          <w:bCs/>
          <w:color w:val="23272e"/>
          <w:sz w:val="21"/>
          <w:szCs w:val="21"/>
        </w:rPr>
        <w:t xml:space="preserve">  Há vedação ao uso de IA na propaganda eleitoral a observar?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17 </w:t>
      </w:r>
      <w:r>
        <w:rPr>
          <w:b/>
          <w:bCs/>
          <w:color w:val="23272e"/>
          <w:sz w:val="21"/>
          <w:szCs w:val="21"/>
        </w:rPr>
        <w:t xml:space="preserve">  Que estrutura societária protege melhor a propriedade intelectual e limita a responsabilidade?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pacing w:after="20" w:before="130"/>
      </w:pPr>
      <w:r>
        <w:rPr>
          <w:b/>
          <w:bCs/>
          <w:color w:val="FFFFFF"/>
          <w:sz w:val="20"/>
          <w:szCs w:val="20"/>
          <w:shd w:fill="213A5C" w:color="auto" w:val="clear"/>
        </w:rPr>
        <w:t xml:space="preserve"> 18 </w:t>
      </w:r>
      <w:r>
        <w:rPr>
          <w:b/>
          <w:bCs/>
          <w:color w:val="23272e"/>
          <w:sz w:val="21"/>
          <w:szCs w:val="21"/>
        </w:rPr>
        <w:t xml:space="preserve">  Que cláusulas de sigilo e de propriedade intelectual devem constar nos contratos com autoridades e parceiros?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advogada: </w:t>
      </w:r>
    </w:p>
    <w:p>
      <w:pPr>
        <w:pBdr>
          <w:bottom w:val="single" w:color="cfc7b4" w:sz="4" w:space="8"/>
        </w:pBdr>
        <w:spacing w:after="4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pBdr>
          <w:top w:val="single" w:color="e0d9c8" w:sz="6" w:space="8"/>
        </w:pBdr>
        <w:spacing w:before="240"/>
        <w:jc w:val="center"/>
      </w:pPr>
      <w:r>
        <w:rPr>
          <w:i/>
          <w:iCs/>
          <w:color w:val="5b6470"/>
          <w:sz w:val="18"/>
          <w:szCs w:val="18"/>
        </w:rPr>
        <w:t xml:space="preserve">As respostas orientam o desenho técnico do produto. Prioridade para as Frentes 4 (LGPD) e 1 (Fiscalização) — são as que destravam o lançamento.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56832e06fc1815bf8a6a27765523da8440910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Jurídico — 18 Perguntas</dc:title>
  <dc:creator>Évora Oversight</dc:creator>
  <cp:lastModifiedBy>Un-named</cp:lastModifiedBy>
  <cp:revision>1</cp:revision>
  <dcterms:created xsi:type="dcterms:W3CDTF">2026-07-06T16:58:51.564Z</dcterms:created>
  <dcterms:modified xsi:type="dcterms:W3CDTF">2026-07-06T16:58:51.580Z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