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A0E5" w14:textId="243E4A56" w:rsidR="006E4409" w:rsidRPr="009E13FD" w:rsidRDefault="009E13FD">
      <w:pPr>
        <w:rPr>
          <w:sz w:val="40"/>
          <w:szCs w:val="40"/>
        </w:rPr>
      </w:pPr>
      <w:r w:rsidRPr="009E13FD">
        <w:rPr>
          <w:sz w:val="40"/>
          <w:szCs w:val="40"/>
        </w:rPr>
        <w:t>Initial Business/Organizational Insights</w:t>
      </w:r>
    </w:p>
    <w:p w14:paraId="4C09A5BC" w14:textId="77777777" w:rsidR="009E13FD" w:rsidRDefault="009E13FD"/>
    <w:p w14:paraId="7C5DB59A" w14:textId="77777777" w:rsidR="009E13FD" w:rsidRDefault="009E13FD"/>
    <w:p w14:paraId="409272C3" w14:textId="77777777" w:rsidR="009E13FD" w:rsidRPr="009E13FD" w:rsidRDefault="009E13FD" w:rsidP="009E13FD">
      <w:r w:rsidRPr="009E13FD">
        <w:t xml:space="preserve">The descriptive analysis provides several initial insights relevant to agricultural planning and decision-making in Sri Lanka. The overall average paddy yield in the dataset was </w:t>
      </w:r>
      <w:r w:rsidRPr="009E13FD">
        <w:rPr>
          <w:b/>
          <w:bCs/>
        </w:rPr>
        <w:t>3,919.28 kg/ha</w:t>
      </w:r>
      <w:r w:rsidRPr="009E13FD">
        <w:t xml:space="preserve">, with a standard deviation of </w:t>
      </w:r>
      <w:r w:rsidRPr="009E13FD">
        <w:rPr>
          <w:b/>
          <w:bCs/>
        </w:rPr>
        <w:t>831.52 kg/ha</w:t>
      </w:r>
      <w:r w:rsidRPr="009E13FD">
        <w:t xml:space="preserve">, indicating considerable variation in yield across the observed district-season-year combinations. The observed yield ranged from </w:t>
      </w:r>
      <w:r w:rsidRPr="009E13FD">
        <w:rPr>
          <w:b/>
          <w:bCs/>
        </w:rPr>
        <w:t>1,547 kg/ha to 6,622 kg/ha</w:t>
      </w:r>
      <w:r w:rsidRPr="009E13FD">
        <w:t xml:space="preserve">. </w:t>
      </w:r>
    </w:p>
    <w:p w14:paraId="4D496C92" w14:textId="77777777" w:rsidR="009E13FD" w:rsidRPr="009E13FD" w:rsidRDefault="009E13FD" w:rsidP="009E13FD">
      <w:r w:rsidRPr="009E13FD">
        <w:t xml:space="preserve">The analysis also indicates that yield levels vary across cultivation seasons. The mean yield was </w:t>
      </w:r>
      <w:r w:rsidRPr="009E13FD">
        <w:rPr>
          <w:b/>
          <w:bCs/>
        </w:rPr>
        <w:t>3,910 kg/ha for Maha</w:t>
      </w:r>
      <w:r w:rsidRPr="009E13FD">
        <w:t xml:space="preserve"> and </w:t>
      </w:r>
      <w:r w:rsidRPr="009E13FD">
        <w:rPr>
          <w:b/>
          <w:bCs/>
        </w:rPr>
        <w:t>3,929 kg/ha for Yala</w:t>
      </w:r>
      <w:r w:rsidRPr="009E13FD">
        <w:t>, showing only a small descriptive difference between the two seasons. However, statistical testing is required to determine whether this observed difference is statistically significant. Therefore, the season effect will be formally investigated in Task 4.</w:t>
      </w:r>
    </w:p>
    <w:p w14:paraId="14D6ECB1" w14:textId="77777777" w:rsidR="009E13FD" w:rsidRPr="009E13FD" w:rsidRDefault="009E13FD" w:rsidP="009E13FD">
      <w:r w:rsidRPr="009E13FD">
        <w:t xml:space="preserve">Substantial geographical variation was also observed. For example, the mean yield was approximately </w:t>
      </w:r>
      <w:r w:rsidRPr="009E13FD">
        <w:rPr>
          <w:b/>
          <w:bCs/>
        </w:rPr>
        <w:t>5,341 kg/ha in Hambantota</w:t>
      </w:r>
      <w:r w:rsidRPr="009E13FD">
        <w:t xml:space="preserve">, </w:t>
      </w:r>
      <w:r w:rsidRPr="009E13FD">
        <w:rPr>
          <w:b/>
          <w:bCs/>
        </w:rPr>
        <w:t>4,652 kg/ha in Ampara</w:t>
      </w:r>
      <w:r w:rsidRPr="009E13FD">
        <w:t xml:space="preserve">, and </w:t>
      </w:r>
      <w:r w:rsidRPr="009E13FD">
        <w:rPr>
          <w:b/>
          <w:bCs/>
        </w:rPr>
        <w:t>4,533 kg/ha in Anuradhapura</w:t>
      </w:r>
      <w:r w:rsidRPr="009E13FD">
        <w:t xml:space="preserve">, while lower mean yields were observed in districts such as </w:t>
      </w:r>
      <w:r w:rsidRPr="009E13FD">
        <w:rPr>
          <w:b/>
          <w:bCs/>
        </w:rPr>
        <w:t>Jaffna (2,566 kg/ha), Kalutara (2,981 kg/ha), Galle (3,030 kg/ha), and Colombo (3,045 kg/ha)</w:t>
      </w:r>
      <w:r w:rsidRPr="009E13FD">
        <w:t xml:space="preserve">. These differences indicate that district-level variation should be considered when </w:t>
      </w:r>
      <w:proofErr w:type="spellStart"/>
      <w:r w:rsidRPr="009E13FD">
        <w:t>analysing</w:t>
      </w:r>
      <w:proofErr w:type="spellEnd"/>
      <w:r w:rsidRPr="009E13FD">
        <w:t xml:space="preserve"> and planning agricultural productivity. These descriptive differences should not, however, be interpreted as evidence that geographical location itself causes differences in yield.</w:t>
      </w:r>
    </w:p>
    <w:p w14:paraId="1442F900" w14:textId="77777777" w:rsidR="009E13FD" w:rsidRPr="009E13FD" w:rsidRDefault="009E13FD" w:rsidP="009E13FD">
      <w:r w:rsidRPr="009E13FD">
        <w:t>The time-series visualization also shows considerable year-to-year variation in average yield for both Maha and Yala. Relatively higher average yields were observed around 2018–2020, followed by a notable decline around 2021 and subsequent recovery. These historical patterns demonstrate the potential value of monitoring yield trends for agricultural planning and future predictive modelling.</w:t>
      </w:r>
    </w:p>
    <w:p w14:paraId="68573F67" w14:textId="77777777" w:rsidR="009E13FD" w:rsidRPr="009E13FD" w:rsidRDefault="009E13FD" w:rsidP="009E13FD">
      <w:r w:rsidRPr="009E13FD">
        <w:t xml:space="preserve">Data quality is another consideration for decision-making. The primary target variable, average yield, contains </w:t>
      </w:r>
      <w:r w:rsidRPr="009E13FD">
        <w:rPr>
          <w:b/>
          <w:bCs/>
        </w:rPr>
        <w:t>26 missing observations (2.6%)</w:t>
      </w:r>
      <w:r w:rsidRPr="009E13FD">
        <w:t xml:space="preserve">, while several component variables have higher levels of missingness, particularly the rainfed-related variables. The IQR analysis also identified </w:t>
      </w:r>
      <w:r w:rsidRPr="009E13FD">
        <w:rPr>
          <w:b/>
          <w:bCs/>
        </w:rPr>
        <w:t>five potential outliers</w:t>
      </w:r>
      <w:r w:rsidRPr="009E13FD">
        <w:t xml:space="preserve"> in average yield. These observations were retained because statistical identification as an outlier does not necessarily indicate a data error. </w:t>
      </w:r>
    </w:p>
    <w:p w14:paraId="76283A6A" w14:textId="77777777" w:rsidR="009E13FD" w:rsidRPr="009E13FD" w:rsidRDefault="009E13FD" w:rsidP="009E13FD">
      <w:r w:rsidRPr="009E13FD">
        <w:t xml:space="preserve">Overall, the findings suggest that </w:t>
      </w:r>
      <w:r w:rsidRPr="009E13FD">
        <w:rPr>
          <w:b/>
          <w:bCs/>
        </w:rPr>
        <w:t>season, district and historical year are important dimensions to consider when investigating paddy yield variation</w:t>
      </w:r>
      <w:r w:rsidRPr="009E13FD">
        <w:t xml:space="preserve">. These initial insights provide the basis for the inferential analysis in Task 4 and the predictive modelling undertaken later in the study. The </w:t>
      </w:r>
      <w:r w:rsidRPr="009E13FD">
        <w:lastRenderedPageBreak/>
        <w:t>current dataset does not contain variables such as weather, soil conditions, fertilizer application, irrigation quantity or pest and disease information; therefore, the observed differences cannot be attributed to specific causal factors using the current data alone.</w:t>
      </w:r>
    </w:p>
    <w:p w14:paraId="2E54A76B" w14:textId="77777777" w:rsidR="009E13FD" w:rsidRDefault="009E13FD"/>
    <w:sectPr w:rsidR="009E1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3FD"/>
    <w:rsid w:val="001407EE"/>
    <w:rsid w:val="002973C5"/>
    <w:rsid w:val="003942F6"/>
    <w:rsid w:val="006E4409"/>
    <w:rsid w:val="008E4376"/>
    <w:rsid w:val="009E1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71C0"/>
  <w15:chartTrackingRefBased/>
  <w15:docId w15:val="{DD306EB3-1280-4D89-8F1B-5235D0093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FD"/>
    <w:rPr>
      <w:rFonts w:eastAsiaTheme="majorEastAsia" w:cstheme="majorBidi"/>
      <w:color w:val="272727" w:themeColor="text1" w:themeTint="D8"/>
    </w:rPr>
  </w:style>
  <w:style w:type="paragraph" w:styleId="Title">
    <w:name w:val="Title"/>
    <w:basedOn w:val="Normal"/>
    <w:next w:val="Normal"/>
    <w:link w:val="TitleChar"/>
    <w:uiPriority w:val="10"/>
    <w:qFormat/>
    <w:rsid w:val="009E1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FD"/>
    <w:pPr>
      <w:spacing w:before="160"/>
      <w:jc w:val="center"/>
    </w:pPr>
    <w:rPr>
      <w:i/>
      <w:iCs/>
      <w:color w:val="404040" w:themeColor="text1" w:themeTint="BF"/>
    </w:rPr>
  </w:style>
  <w:style w:type="character" w:customStyle="1" w:styleId="QuoteChar">
    <w:name w:val="Quote Char"/>
    <w:basedOn w:val="DefaultParagraphFont"/>
    <w:link w:val="Quote"/>
    <w:uiPriority w:val="29"/>
    <w:rsid w:val="009E13FD"/>
    <w:rPr>
      <w:i/>
      <w:iCs/>
      <w:color w:val="404040" w:themeColor="text1" w:themeTint="BF"/>
    </w:rPr>
  </w:style>
  <w:style w:type="paragraph" w:styleId="ListParagraph">
    <w:name w:val="List Paragraph"/>
    <w:basedOn w:val="Normal"/>
    <w:uiPriority w:val="34"/>
    <w:qFormat/>
    <w:rsid w:val="009E13FD"/>
    <w:pPr>
      <w:ind w:left="720"/>
      <w:contextualSpacing/>
    </w:pPr>
  </w:style>
  <w:style w:type="character" w:styleId="IntenseEmphasis">
    <w:name w:val="Intense Emphasis"/>
    <w:basedOn w:val="DefaultParagraphFont"/>
    <w:uiPriority w:val="21"/>
    <w:qFormat/>
    <w:rsid w:val="009E13FD"/>
    <w:rPr>
      <w:i/>
      <w:iCs/>
      <w:color w:val="2F5496" w:themeColor="accent1" w:themeShade="BF"/>
    </w:rPr>
  </w:style>
  <w:style w:type="paragraph" w:styleId="IntenseQuote">
    <w:name w:val="Intense Quote"/>
    <w:basedOn w:val="Normal"/>
    <w:next w:val="Normal"/>
    <w:link w:val="IntenseQuoteChar"/>
    <w:uiPriority w:val="30"/>
    <w:qFormat/>
    <w:rsid w:val="009E1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3FD"/>
    <w:rPr>
      <w:i/>
      <w:iCs/>
      <w:color w:val="2F5496" w:themeColor="accent1" w:themeShade="BF"/>
    </w:rPr>
  </w:style>
  <w:style w:type="character" w:styleId="IntenseReference">
    <w:name w:val="Intense Reference"/>
    <w:basedOn w:val="DefaultParagraphFont"/>
    <w:uiPriority w:val="32"/>
    <w:qFormat/>
    <w:rsid w:val="009E13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Daluwatta D.K.G IT24103055</dc:creator>
  <cp:keywords/>
  <dc:description/>
  <cp:lastModifiedBy>Daluwatta D.K.G IT24103055</cp:lastModifiedBy>
  <cp:revision>1</cp:revision>
  <dcterms:created xsi:type="dcterms:W3CDTF">2026-09-22T06:37:00Z</dcterms:created>
  <dcterms:modified xsi:type="dcterms:W3CDTF">2026-09-22T06:37:00Z</dcterms:modified>
</cp:coreProperties>
</file>