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CAE6B" w14:textId="3B6333F5" w:rsidR="00117463" w:rsidRPr="00965C93" w:rsidRDefault="00965C93" w:rsidP="00965C93">
      <w:pPr>
        <w:pStyle w:val="ListParagraph"/>
        <w:numPr>
          <w:ilvl w:val="0"/>
          <w:numId w:val="1"/>
        </w:numPr>
        <w:rPr>
          <w:b/>
          <w:bCs/>
        </w:rPr>
      </w:pPr>
      <w:r w:rsidRPr="00965C93">
        <w:rPr>
          <w:b/>
          <w:bCs/>
          <w:noProof/>
        </w:rPr>
        <w:drawing>
          <wp:anchor distT="0" distB="0" distL="114300" distR="114300" simplePos="0" relativeHeight="251658240" behindDoc="0" locked="0" layoutInCell="1" allowOverlap="1" wp14:anchorId="42F1C598" wp14:editId="4B0E7072">
            <wp:simplePos x="0" y="0"/>
            <wp:positionH relativeFrom="margin">
              <wp:posOffset>5577840</wp:posOffset>
            </wp:positionH>
            <wp:positionV relativeFrom="paragraph">
              <wp:posOffset>10795</wp:posOffset>
            </wp:positionV>
            <wp:extent cx="1642110" cy="1812925"/>
            <wp:effectExtent l="0" t="0" r="0" b="0"/>
            <wp:wrapSquare wrapText="bothSides"/>
            <wp:docPr id="1976070594" name="Picture 1976070594" descr="A picture containing text,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070594" name="Picture 1" descr="A picture containing text, linedrawing&#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642110" cy="1812925"/>
                    </a:xfrm>
                    <a:prstGeom prst="rect">
                      <a:avLst/>
                    </a:prstGeom>
                  </pic:spPr>
                </pic:pic>
              </a:graphicData>
            </a:graphic>
            <wp14:sizeRelH relativeFrom="margin">
              <wp14:pctWidth>0</wp14:pctWidth>
            </wp14:sizeRelH>
            <wp14:sizeRelV relativeFrom="margin">
              <wp14:pctHeight>0</wp14:pctHeight>
            </wp14:sizeRelV>
          </wp:anchor>
        </w:drawing>
      </w:r>
      <w:r w:rsidRPr="00965C93">
        <w:rPr>
          <w:b/>
          <w:bCs/>
        </w:rPr>
        <w:t>The figure shows two different room temperature true stress-strain curves for the same metal but having undergone different processing operations. For each of the following processing steps, indicate if it could produce a behavior change from 1) to 2) and explain why or why not.</w:t>
      </w:r>
    </w:p>
    <w:p w14:paraId="0D4645DD" w14:textId="0B180FDF" w:rsidR="00965C93" w:rsidRPr="006214A2" w:rsidRDefault="00965C93" w:rsidP="006214A2">
      <w:pPr>
        <w:pStyle w:val="ListParagraph"/>
        <w:numPr>
          <w:ilvl w:val="1"/>
          <w:numId w:val="1"/>
        </w:numPr>
        <w:rPr>
          <w:b/>
          <w:bCs/>
        </w:rPr>
      </w:pPr>
      <w:r w:rsidRPr="00965C93">
        <w:rPr>
          <w:b/>
          <w:bCs/>
        </w:rPr>
        <w:t>Heating near the melting temperature in an inert gas environment for 200 hours</w:t>
      </w:r>
      <w:r w:rsidR="006214A2">
        <w:rPr>
          <w:b/>
          <w:bCs/>
        </w:rPr>
        <w:br/>
      </w:r>
      <w:r w:rsidR="000D2E36">
        <w:t xml:space="preserve">Yes! </w:t>
      </w:r>
      <w:r>
        <w:t>Heatin</w:t>
      </w:r>
      <w:r w:rsidR="000D2E36">
        <w:t>g</w:t>
      </w:r>
      <w:r>
        <w:t xml:space="preserve"> near the melting temperature may result in the </w:t>
      </w:r>
      <w:r w:rsidR="00717F23">
        <w:t xml:space="preserve">material undergoing recrystallization and grain growth which could result in the increase in the ductility and toughness and decrease in the strength. </w:t>
      </w:r>
    </w:p>
    <w:p w14:paraId="5665015C" w14:textId="4FC588F5" w:rsidR="00717F23" w:rsidRDefault="000D2E36" w:rsidP="00717F23">
      <w:pPr>
        <w:pStyle w:val="ListParagraph"/>
        <w:numPr>
          <w:ilvl w:val="1"/>
          <w:numId w:val="1"/>
        </w:numPr>
        <w:rPr>
          <w:b/>
          <w:bCs/>
        </w:rPr>
      </w:pPr>
      <w:r w:rsidRPr="000D2E36">
        <w:rPr>
          <w:b/>
          <w:bCs/>
        </w:rPr>
        <w:t>Cold rolling</w:t>
      </w:r>
      <w:r w:rsidR="00717F23" w:rsidRPr="000D2E36">
        <w:rPr>
          <w:b/>
          <w:bCs/>
        </w:rPr>
        <w:t xml:space="preserve"> to 30% reduction in thickness</w:t>
      </w:r>
    </w:p>
    <w:p w14:paraId="4BF9346A" w14:textId="0F9D4EF2" w:rsidR="006214A2" w:rsidRDefault="000D2E36" w:rsidP="006214A2">
      <w:pPr>
        <w:pStyle w:val="ListParagraph"/>
        <w:ind w:left="1440"/>
      </w:pPr>
      <w:r>
        <w:t>No! Cold rolling a metal result in the grain structure in the metal to change from equiaxed or randomly oriented to and elongated, anisotropic structure. The elongated grains are aligned in the rolling direction. In addition, cold rolling can cause and increase in the dislocation in the mater</w:t>
      </w:r>
      <w:r w:rsidR="006214A2">
        <w:t>ial. An increase in dislocation leads to an increase in strength and hardness but a decrease in the ductility and toughness in the material.</w:t>
      </w:r>
    </w:p>
    <w:p w14:paraId="759B0AC1" w14:textId="6E4ED11A" w:rsidR="006214A2" w:rsidRDefault="006214A2" w:rsidP="006214A2">
      <w:pPr>
        <w:pStyle w:val="ListParagraph"/>
        <w:numPr>
          <w:ilvl w:val="1"/>
          <w:numId w:val="1"/>
        </w:numPr>
        <w:rPr>
          <w:b/>
          <w:bCs/>
        </w:rPr>
      </w:pPr>
      <w:r w:rsidRPr="006214A2">
        <w:rPr>
          <w:b/>
          <w:bCs/>
        </w:rPr>
        <w:t>Heating a</w:t>
      </w:r>
      <w:r>
        <w:rPr>
          <w:b/>
          <w:bCs/>
        </w:rPr>
        <w:t>t</w:t>
      </w:r>
      <w:r w:rsidRPr="006214A2">
        <w:rPr>
          <w:b/>
          <w:bCs/>
        </w:rPr>
        <w:t xml:space="preserve"> the recrystallization temperature for 1 hour</w:t>
      </w:r>
    </w:p>
    <w:p w14:paraId="098F8E8D" w14:textId="1BCF4E28" w:rsidR="006214A2" w:rsidRDefault="006214A2" w:rsidP="006214A2">
      <w:pPr>
        <w:pStyle w:val="ListParagraph"/>
        <w:ind w:left="1440"/>
      </w:pPr>
      <w:r w:rsidRPr="006214A2">
        <w:t>Yes!</w:t>
      </w:r>
      <w:r>
        <w:t xml:space="preserve"> Recrystallization of a metal result is the formation of equiaxed grains in the metal. This could lead to </w:t>
      </w:r>
      <w:r w:rsidR="00280F78">
        <w:t>an</w:t>
      </w:r>
      <w:r>
        <w:t xml:space="preserve"> increase in the ductility and toughness and </w:t>
      </w:r>
      <w:r w:rsidR="00280F78">
        <w:t>decrease</w:t>
      </w:r>
      <w:r>
        <w:t xml:space="preserve"> in the strength of the material.</w:t>
      </w:r>
    </w:p>
    <w:p w14:paraId="7E2CEB0B" w14:textId="5914C902" w:rsidR="00280F78" w:rsidRDefault="00280F78" w:rsidP="00280F78">
      <w:pPr>
        <w:pStyle w:val="ListParagraph"/>
        <w:numPr>
          <w:ilvl w:val="1"/>
          <w:numId w:val="1"/>
        </w:numPr>
        <w:rPr>
          <w:b/>
          <w:bCs/>
        </w:rPr>
      </w:pPr>
      <w:r w:rsidRPr="00280F78">
        <w:rPr>
          <w:b/>
          <w:bCs/>
        </w:rPr>
        <w:t>Conduction the tensile test at 1000x faster cross</w:t>
      </w:r>
      <w:r>
        <w:rPr>
          <w:b/>
          <w:bCs/>
        </w:rPr>
        <w:t>-</w:t>
      </w:r>
      <w:r w:rsidRPr="00280F78">
        <w:rPr>
          <w:b/>
          <w:bCs/>
        </w:rPr>
        <w:t>head displacement</w:t>
      </w:r>
    </w:p>
    <w:p w14:paraId="1C90AD9D" w14:textId="12EBCD7A" w:rsidR="00280F78" w:rsidRDefault="00280F78" w:rsidP="00280F78">
      <w:pPr>
        <w:pStyle w:val="ListParagraph"/>
        <w:ind w:left="1440"/>
      </w:pPr>
      <w:r w:rsidRPr="00280F78">
        <w:t>No! Increasing the cross-head displacement by such a large factor would cause the material to deform more quickly than it would under normal conditions.</w:t>
      </w:r>
      <w:r>
        <w:t xml:space="preserve"> The material may not reach its true breaking point.</w:t>
      </w:r>
    </w:p>
    <w:p w14:paraId="752E10A1" w14:textId="3A0C6CCE" w:rsidR="00280F78" w:rsidRDefault="008817BB" w:rsidP="008817BB">
      <w:pPr>
        <w:pStyle w:val="ListParagraph"/>
        <w:numPr>
          <w:ilvl w:val="0"/>
          <w:numId w:val="1"/>
        </w:numPr>
        <w:rPr>
          <w:b/>
          <w:bCs/>
        </w:rPr>
      </w:pPr>
      <w:r w:rsidRPr="008817BB">
        <w:rPr>
          <w:b/>
          <w:bCs/>
        </w:rPr>
        <w:t>A tensile machine is used to stretch two specimens of identical material. For specimen 1, the initial gauge length is 3 in., and the final gauge is 3.75 in. For specimen 2, the initial gauge length is 1.75 in., and the final gauge length is 2.25 in. After the test, both specimens are annealed in a furnace at the same temperature for the same amount of time. Which specimen will have larger grains? Which specimen will be stronger?</w:t>
      </w:r>
    </w:p>
    <w:p w14:paraId="51810F07" w14:textId="647F3938" w:rsidR="008817BB" w:rsidRDefault="008817BB" w:rsidP="008817BB">
      <w:pPr>
        <w:pStyle w:val="ListParagraph"/>
        <w:rPr>
          <w:u w:val="single"/>
        </w:rPr>
      </w:pPr>
      <w:r w:rsidRPr="008817BB">
        <w:rPr>
          <w:u w:val="single"/>
        </w:rPr>
        <w:t>Specimen #1</w:t>
      </w:r>
    </w:p>
    <w:p w14:paraId="75CFBA0B" w14:textId="34A177B3" w:rsidR="008817BB" w:rsidRDefault="008817BB" w:rsidP="008817BB">
      <w:pPr>
        <w:pStyle w:val="ListParagraph"/>
      </w:pPr>
      <w:r>
        <w:t>Initial gauge length = 3in.</w:t>
      </w:r>
    </w:p>
    <w:p w14:paraId="04D8E1E0" w14:textId="143786AC" w:rsidR="008817BB" w:rsidRDefault="008817BB" w:rsidP="008817BB">
      <w:pPr>
        <w:pStyle w:val="ListParagraph"/>
      </w:pPr>
      <w:r>
        <w:t>Final gauge length = 3.75 in.</w:t>
      </w:r>
    </w:p>
    <w:p w14:paraId="0182BE4D" w14:textId="1327632D" w:rsidR="008817BB" w:rsidRPr="00330C0B" w:rsidRDefault="00330C0B" w:rsidP="008817BB">
      <w:pPr>
        <w:pStyle w:val="ListParagraph"/>
        <w:rPr>
          <w:rFonts w:eastAsiaTheme="minorEastAsia"/>
        </w:rPr>
      </w:pPr>
      <m:oMathPara>
        <m:oMath>
          <m:r>
            <w:rPr>
              <w:rFonts w:ascii="Cambria Math" w:hAnsi="Cambria Math"/>
            </w:rPr>
            <m:t>ϵ=</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l</m:t>
                          </m:r>
                        </m:e>
                        <m:sub>
                          <m:r>
                            <w:rPr>
                              <w:rFonts w:ascii="Cambria Math" w:hAnsi="Cambria Math"/>
                            </w:rPr>
                            <m:t>o</m:t>
                          </m:r>
                        </m:sub>
                      </m:sSub>
                    </m:den>
                  </m:f>
                </m:e>
              </m:d>
            </m:e>
          </m:func>
        </m:oMath>
      </m:oMathPara>
    </w:p>
    <w:p w14:paraId="47285AF5" w14:textId="512934A9" w:rsidR="00330C0B" w:rsidRDefault="00330C0B" w:rsidP="00330C0B">
      <w:pPr>
        <w:pStyle w:val="ListParagraph"/>
      </w:pPr>
      <m:oMathPara>
        <m:oMath>
          <m:r>
            <w:rPr>
              <w:rFonts w:ascii="Cambria Math" w:hAnsi="Cambria Math"/>
            </w:rPr>
            <m:t>ϵ=</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3.75</m:t>
                      </m:r>
                    </m:num>
                    <m:den>
                      <m:r>
                        <w:rPr>
                          <w:rFonts w:ascii="Cambria Math" w:hAnsi="Cambria Math"/>
                        </w:rPr>
                        <m:t>3</m:t>
                      </m:r>
                    </m:den>
                  </m:f>
                </m:e>
              </m:d>
            </m:e>
          </m:func>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223</m:t>
          </m:r>
        </m:oMath>
      </m:oMathPara>
    </w:p>
    <w:p w14:paraId="60D78579" w14:textId="77777777" w:rsidR="00330C0B" w:rsidRDefault="00330C0B" w:rsidP="008817BB">
      <w:pPr>
        <w:pStyle w:val="ListParagraph"/>
      </w:pPr>
    </w:p>
    <w:p w14:paraId="7ECD9DF5" w14:textId="1F83D18A" w:rsidR="008817BB" w:rsidRDefault="008817BB" w:rsidP="008817BB">
      <w:pPr>
        <w:pStyle w:val="ListParagraph"/>
        <w:rPr>
          <w:u w:val="single"/>
        </w:rPr>
      </w:pPr>
      <w:r w:rsidRPr="008817BB">
        <w:rPr>
          <w:u w:val="single"/>
        </w:rPr>
        <w:t>Specimen #2</w:t>
      </w:r>
    </w:p>
    <w:p w14:paraId="6A67FD7A" w14:textId="0FACE298" w:rsidR="008817BB" w:rsidRDefault="008817BB" w:rsidP="008817BB">
      <w:pPr>
        <w:pStyle w:val="ListParagraph"/>
      </w:pPr>
      <w:r>
        <w:t>Initial gauge length = 1.75 in.</w:t>
      </w:r>
    </w:p>
    <w:p w14:paraId="2276996E" w14:textId="2406ABC3" w:rsidR="008817BB" w:rsidRDefault="008817BB" w:rsidP="008817BB">
      <w:pPr>
        <w:pStyle w:val="ListParagraph"/>
      </w:pPr>
      <w:r>
        <w:t>Final gauge length = 2.25 in.</w:t>
      </w:r>
    </w:p>
    <w:p w14:paraId="312BF21A" w14:textId="265D2017" w:rsidR="00330C0B" w:rsidRPr="00330C0B" w:rsidRDefault="00330C0B" w:rsidP="00330C0B">
      <w:pPr>
        <w:pStyle w:val="ListParagraph"/>
        <w:rPr>
          <w:rFonts w:eastAsiaTheme="minorEastAsia"/>
        </w:rPr>
      </w:pPr>
      <m:oMathPara>
        <m:oMath>
          <m:r>
            <w:rPr>
              <w:rFonts w:ascii="Cambria Math" w:hAnsi="Cambria Math"/>
            </w:rPr>
            <m:t>ϵ=</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2.25</m:t>
                      </m:r>
                    </m:num>
                    <m:den>
                      <m:r>
                        <w:rPr>
                          <w:rFonts w:ascii="Cambria Math" w:hAnsi="Cambria Math"/>
                        </w:rPr>
                        <m:t>1.75</m:t>
                      </m:r>
                    </m:den>
                  </m:f>
                </m:e>
              </m:d>
            </m:e>
          </m:func>
          <m:r>
            <w:rPr>
              <w:rFonts w:ascii="Cambria Math" w:eastAsiaTheme="minorEastAsia" w:hAnsi="Cambria Math"/>
            </w:rPr>
            <m:t>=0.251</m:t>
          </m:r>
        </m:oMath>
      </m:oMathPara>
    </w:p>
    <w:p w14:paraId="17853430" w14:textId="5495CA52" w:rsidR="00330C0B" w:rsidRDefault="00330C0B" w:rsidP="00330C0B">
      <w:pPr>
        <w:pStyle w:val="ListParagraph"/>
      </w:pPr>
      <w:r>
        <w:t>Specimen #2 is expected to have larger grains as the higher strain value indicates a higher amount of prior cold work. Specimen #1 is expected to be stronger since the lower strain indicates a slower rate of recrystallization compared with specimen #2.</w:t>
      </w:r>
    </w:p>
    <w:p w14:paraId="2FF3A5CA" w14:textId="1339C836" w:rsidR="00330C0B" w:rsidRPr="00916C43" w:rsidRDefault="00330C0B" w:rsidP="008817BB">
      <w:pPr>
        <w:pStyle w:val="ListParagraph"/>
        <w:numPr>
          <w:ilvl w:val="0"/>
          <w:numId w:val="1"/>
        </w:numPr>
        <w:rPr>
          <w:b/>
          <w:bCs/>
        </w:rPr>
      </w:pPr>
      <w:r w:rsidRPr="00916C43">
        <w:rPr>
          <w:b/>
          <w:bCs/>
        </w:rPr>
        <w:t xml:space="preserve">In a Brinell hardness test, a 1500-kgf load is </w:t>
      </w:r>
      <w:r w:rsidR="00D5257E" w:rsidRPr="00916C43">
        <w:rPr>
          <w:b/>
          <w:bCs/>
        </w:rPr>
        <w:t>pressed</w:t>
      </w:r>
      <w:r w:rsidRPr="00916C43">
        <w:rPr>
          <w:b/>
          <w:bCs/>
        </w:rPr>
        <w:t xml:space="preserve"> into a mild carbon ste</w:t>
      </w:r>
      <w:r w:rsidR="003721CF" w:rsidRPr="00916C43">
        <w:rPr>
          <w:b/>
          <w:bCs/>
        </w:rPr>
        <w:t xml:space="preserve">el specimen using </w:t>
      </w:r>
      <w:r w:rsidR="00D5257E" w:rsidRPr="00916C43">
        <w:rPr>
          <w:b/>
          <w:bCs/>
        </w:rPr>
        <w:t>a 10</w:t>
      </w:r>
      <w:r w:rsidR="003721CF" w:rsidRPr="00916C43">
        <w:rPr>
          <w:b/>
          <w:bCs/>
        </w:rPr>
        <w:t xml:space="preserve"> mm ball. The average diameter of the impression is 3.2 mm.</w:t>
      </w:r>
    </w:p>
    <w:p w14:paraId="77CD9086" w14:textId="0D553264" w:rsidR="003721CF" w:rsidRPr="00916C43" w:rsidRDefault="003721CF" w:rsidP="003721CF">
      <w:pPr>
        <w:pStyle w:val="ListParagraph"/>
        <w:numPr>
          <w:ilvl w:val="1"/>
          <w:numId w:val="1"/>
        </w:numPr>
        <w:rPr>
          <w:b/>
          <w:bCs/>
        </w:rPr>
      </w:pPr>
      <w:r w:rsidRPr="00916C43">
        <w:rPr>
          <w:b/>
          <w:bCs/>
        </w:rPr>
        <w:t>Determine BHN of the steel.</w:t>
      </w:r>
    </w:p>
    <w:p w14:paraId="61F48F85" w14:textId="4D28C0CD" w:rsidR="00D5257E" w:rsidRPr="00D5257E" w:rsidRDefault="00D5257E" w:rsidP="00D5257E">
      <w:pPr>
        <w:pStyle w:val="ListParagraph"/>
        <w:ind w:left="1440"/>
        <w:rPr>
          <w:rFonts w:eastAsiaTheme="minorEastAsia"/>
        </w:rPr>
      </w:pPr>
      <m:oMathPara>
        <m:oMathParaPr>
          <m:jc m:val="left"/>
        </m:oMathParaPr>
        <m:oMath>
          <m:r>
            <w:rPr>
              <w:rFonts w:ascii="Cambria Math" w:hAnsi="Cambria Math"/>
            </w:rPr>
            <m:t xml:space="preserve">HBN = </m:t>
          </m:r>
          <m:f>
            <m:fPr>
              <m:ctrlPr>
                <w:rPr>
                  <w:rFonts w:ascii="Cambria Math" w:hAnsi="Cambria Math"/>
                  <w:i/>
                </w:rPr>
              </m:ctrlPr>
            </m:fPr>
            <m:num>
              <m:r>
                <w:rPr>
                  <w:rFonts w:ascii="Cambria Math" w:hAnsi="Cambria Math"/>
                </w:rPr>
                <m:t>2P</m:t>
              </m:r>
            </m:num>
            <m:den>
              <m:r>
                <w:rPr>
                  <w:rFonts w:ascii="Cambria Math" w:hAnsi="Cambria Math"/>
                </w:rPr>
                <m:t>(πD)(D-</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e>
              </m:rad>
              <m:r>
                <w:rPr>
                  <w:rFonts w:ascii="Cambria Math" w:hAnsi="Cambria Math"/>
                </w:rPr>
                <m:t>)</m:t>
              </m:r>
            </m:den>
          </m:f>
        </m:oMath>
      </m:oMathPara>
    </w:p>
    <w:p w14:paraId="3D20C78D" w14:textId="3DDCB49F" w:rsidR="00D5257E" w:rsidRPr="00D5257E" w:rsidRDefault="00D5257E" w:rsidP="00D5257E">
      <w:pPr>
        <w:pStyle w:val="ListParagraph"/>
        <w:ind w:left="1440"/>
        <w:rPr>
          <w:rFonts w:eastAsiaTheme="minorEastAsia"/>
        </w:rPr>
      </w:pPr>
      <m:oMathPara>
        <m:oMathParaPr>
          <m:jc m:val="left"/>
        </m:oMathParaPr>
        <m:oMath>
          <m:r>
            <w:rPr>
              <w:rFonts w:ascii="Cambria Math" w:hAnsi="Cambria Math"/>
            </w:rPr>
            <m:t>D=3.2 mm</m:t>
          </m:r>
        </m:oMath>
      </m:oMathPara>
    </w:p>
    <w:p w14:paraId="670AA08F" w14:textId="25296686" w:rsidR="00D5257E" w:rsidRPr="00D5257E" w:rsidRDefault="007E0E02" w:rsidP="00D5257E">
      <w:pPr>
        <w:pStyle w:val="ListParagraph"/>
        <w:ind w:left="1440"/>
        <w:rPr>
          <w:rFonts w:eastAsiaTheme="minorEastAsia"/>
        </w:rPr>
      </w:pPr>
      <m:oMathPara>
        <m:oMathParaPr>
          <m:jc m:val="left"/>
        </m:oMathParaPr>
        <m:oMath>
          <m:r>
            <w:rPr>
              <w:rFonts w:ascii="Cambria Math" w:hAnsi="Cambria Math"/>
            </w:rPr>
            <m:t>d=10 mm</m:t>
          </m:r>
          <m:r>
            <m:rPr>
              <m:sty m:val="p"/>
            </m:rPr>
            <w:rPr>
              <w:rFonts w:eastAsiaTheme="minorEastAsia"/>
            </w:rPr>
            <w:br/>
          </m:r>
        </m:oMath>
        <m:oMath>
          <m:r>
            <w:rPr>
              <w:rFonts w:ascii="Cambria Math" w:hAnsi="Cambria Math"/>
            </w:rPr>
            <m:t xml:space="preserve">HBN = </m:t>
          </m:r>
          <m:f>
            <m:fPr>
              <m:ctrlPr>
                <w:rPr>
                  <w:rFonts w:ascii="Cambria Math" w:hAnsi="Cambria Math"/>
                  <w:i/>
                </w:rPr>
              </m:ctrlPr>
            </m:fPr>
            <m:num>
              <m:r>
                <w:rPr>
                  <w:rFonts w:ascii="Cambria Math" w:hAnsi="Cambria Math"/>
                </w:rPr>
                <m:t>2*(1500 kgf)</m:t>
              </m:r>
            </m:num>
            <m:den>
              <m:r>
                <w:rPr>
                  <w:rFonts w:ascii="Cambria Math" w:hAnsi="Cambria Math"/>
                </w:rPr>
                <m:t>(π*10 mm)(10 mm-</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(10 mm)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(3.2 mm)</m:t>
                      </m:r>
                    </m:e>
                    <m:sup>
                      <m:r>
                        <w:rPr>
                          <w:rFonts w:ascii="Cambria Math" w:hAnsi="Cambria Math"/>
                        </w:rPr>
                        <m:t>2</m:t>
                      </m:r>
                    </m:sup>
                  </m:sSup>
                </m:e>
              </m:rad>
              <m:r>
                <w:rPr>
                  <w:rFonts w:ascii="Cambria Math" w:hAnsi="Cambria Math"/>
                </w:rPr>
                <m:t>)</m:t>
              </m:r>
            </m:den>
          </m:f>
          <m:r>
            <w:rPr>
              <w:rFonts w:ascii="Cambria Math" w:hAnsi="Cambria Math"/>
            </w:rPr>
            <m:t>=</m:t>
          </m:r>
          <m:r>
            <w:rPr>
              <w:rFonts w:ascii="Cambria Math" w:eastAsiaTheme="minorEastAsia" w:hAnsi="Cambria Math"/>
            </w:rPr>
            <m:t>181.8</m:t>
          </m:r>
          <m:f>
            <m:fPr>
              <m:ctrlPr>
                <w:rPr>
                  <w:rFonts w:ascii="Cambria Math" w:eastAsiaTheme="minorEastAsia" w:hAnsi="Cambria Math"/>
                  <w:i/>
                </w:rPr>
              </m:ctrlPr>
            </m:fPr>
            <m:num>
              <m:r>
                <w:rPr>
                  <w:rFonts w:ascii="Cambria Math" w:eastAsiaTheme="minorEastAsia" w:hAnsi="Cambria Math"/>
                </w:rPr>
                <m:t>kgf</m:t>
              </m:r>
            </m:num>
            <m:den>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r>
            <w:rPr>
              <w:rFonts w:ascii="Cambria Math" w:eastAsiaTheme="minorEastAsia" w:hAnsi="Cambria Math"/>
            </w:rPr>
            <m:t>=</m:t>
          </m:r>
          <m:r>
            <w:rPr>
              <w:rFonts w:ascii="Cambria Math" w:eastAsiaTheme="minorEastAsia" w:hAnsi="Cambria Math"/>
            </w:rPr>
            <m:t>1782</m:t>
          </m:r>
          <m:r>
            <w:rPr>
              <w:rFonts w:ascii="Cambria Math" w:eastAsiaTheme="minorEastAsia" w:hAnsi="Cambria Math"/>
            </w:rPr>
            <m:t xml:space="preserve"> MPa</m:t>
          </m:r>
        </m:oMath>
      </m:oMathPara>
    </w:p>
    <w:p w14:paraId="5EDA02AD" w14:textId="1DBE8B3B" w:rsidR="00D5257E" w:rsidRPr="00D5257E" w:rsidRDefault="00D5257E" w:rsidP="00D5257E">
      <w:pPr>
        <w:pStyle w:val="ListParagraph"/>
        <w:ind w:left="1440"/>
        <w:rPr>
          <w:rFonts w:eastAsiaTheme="minorEastAsia"/>
        </w:rPr>
      </w:pPr>
    </w:p>
    <w:p w14:paraId="2EB7DE5B" w14:textId="407F152E" w:rsidR="00D5257E" w:rsidRPr="00086B6E" w:rsidRDefault="00916C43" w:rsidP="00916C43">
      <w:pPr>
        <w:pStyle w:val="ListParagraph"/>
        <w:numPr>
          <w:ilvl w:val="1"/>
          <w:numId w:val="1"/>
        </w:numPr>
        <w:rPr>
          <w:rFonts w:eastAsiaTheme="minorEastAsia"/>
          <w:b/>
          <w:bCs/>
        </w:rPr>
      </w:pPr>
      <w:r w:rsidRPr="00086B6E">
        <w:rPr>
          <w:rFonts w:eastAsiaTheme="minorEastAsia"/>
          <w:b/>
          <w:bCs/>
        </w:rPr>
        <w:t>Estimate the steel’s yield strength in MPa.</w:t>
      </w:r>
    </w:p>
    <w:p w14:paraId="2E20EFAF" w14:textId="35CAE315" w:rsidR="00462532" w:rsidRPr="00462532" w:rsidRDefault="00462532" w:rsidP="00462532">
      <w:pPr>
        <w:pStyle w:val="ListParagraph"/>
        <w:ind w:left="1440"/>
        <w:rPr>
          <w:rFonts w:eastAsiaTheme="minorEastAsia"/>
        </w:rPr>
      </w:pPr>
      <m:oMathPara>
        <m:oMathParaPr>
          <m:jc m:val="left"/>
        </m:oMathParaPr>
        <m:oMath>
          <m:r>
            <w:rPr>
              <w:rFonts w:ascii="Cambria Math" w:eastAsiaTheme="minorEastAsia" w:hAnsi="Cambria Math"/>
            </w:rPr>
            <m:t>Hardness = C</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oMath>
      </m:oMathPara>
    </w:p>
    <w:p w14:paraId="4C3B6541" w14:textId="6CC730C7" w:rsidR="001921CF" w:rsidRPr="001921CF" w:rsidRDefault="00462532" w:rsidP="001921CF">
      <w:pPr>
        <w:pStyle w:val="ListParagraph"/>
        <w:ind w:left="144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Hardness</m:t>
              </m:r>
            </m:num>
            <m:den>
              <m:r>
                <w:rPr>
                  <w:rFonts w:ascii="Cambria Math" w:eastAsiaTheme="minorEastAsia" w:hAnsi="Cambria Math"/>
                </w:rPr>
                <m:t>C</m:t>
              </m:r>
            </m:den>
          </m:f>
        </m:oMath>
      </m:oMathPara>
    </w:p>
    <w:p w14:paraId="4F075ECE" w14:textId="77777777" w:rsidR="001921CF" w:rsidRPr="00462532" w:rsidRDefault="001921CF" w:rsidP="001921CF">
      <w:pPr>
        <w:pStyle w:val="ListParagraph"/>
        <w:ind w:left="1440"/>
        <w:rPr>
          <w:rFonts w:eastAsiaTheme="minorEastAsia"/>
        </w:rPr>
      </w:pPr>
      <m:oMathPara>
        <m:oMathParaPr>
          <m:jc m:val="left"/>
        </m:oMathParaPr>
        <m:oMath>
          <m:r>
            <w:rPr>
              <w:rFonts w:ascii="Cambria Math" w:eastAsiaTheme="minorEastAsia" w:hAnsi="Cambria Math"/>
            </w:rPr>
            <m:t xml:space="preserve">Rule of thumb, C = </m:t>
          </m:r>
          <m:r>
            <w:rPr>
              <w:rFonts w:ascii="Cambria Math" w:eastAsiaTheme="minorEastAsia" w:hAnsi="Cambria Math"/>
            </w:rPr>
            <m:t>3</m:t>
          </m:r>
        </m:oMath>
      </m:oMathPara>
    </w:p>
    <w:p w14:paraId="3F9ED062" w14:textId="078A7354" w:rsidR="001921CF" w:rsidRPr="001921CF" w:rsidRDefault="001921CF" w:rsidP="001921CF">
      <w:pPr>
        <w:pStyle w:val="ListParagraph"/>
        <w:ind w:left="144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1782 MPa</m:t>
              </m:r>
            </m:num>
            <m:den>
              <m:r>
                <w:rPr>
                  <w:rFonts w:ascii="Cambria Math" w:eastAsiaTheme="minorEastAsia" w:hAnsi="Cambria Math"/>
                </w:rPr>
                <m:t>3</m:t>
              </m:r>
            </m:den>
          </m:f>
          <m:r>
            <w:rPr>
              <w:rFonts w:ascii="Cambria Math" w:eastAsiaTheme="minorEastAsia" w:hAnsi="Cambria Math"/>
            </w:rPr>
            <m:t>=594 MPa</m:t>
          </m:r>
        </m:oMath>
      </m:oMathPara>
    </w:p>
    <w:p w14:paraId="24E4C5A9" w14:textId="1E199B57" w:rsidR="001921CF" w:rsidRPr="001921CF" w:rsidRDefault="001921CF" w:rsidP="001921CF">
      <w:pPr>
        <w:pStyle w:val="ListParagraph"/>
        <w:numPr>
          <w:ilvl w:val="0"/>
          <w:numId w:val="1"/>
        </w:numPr>
        <w:rPr>
          <w:rFonts w:eastAsiaTheme="minorEastAsia"/>
        </w:rPr>
      </w:pPr>
      <w:r>
        <w:rPr>
          <w:rFonts w:eastAsiaTheme="minorEastAsia"/>
        </w:rPr>
        <w:t>Given the following stress and length data for a specimen at two points during a tensile test, determine the strain-hardening exponent of the material. The specimen gauge section was initially 50 mm long.</w:t>
      </w:r>
    </w:p>
    <w:tbl>
      <w:tblPr>
        <w:tblStyle w:val="TableGrid"/>
        <w:tblW w:w="0" w:type="auto"/>
        <w:jc w:val="center"/>
        <w:tblLook w:val="04A0" w:firstRow="1" w:lastRow="0" w:firstColumn="1" w:lastColumn="0" w:noHBand="0" w:noVBand="1"/>
      </w:tblPr>
      <w:tblGrid>
        <w:gridCol w:w="1311"/>
        <w:gridCol w:w="1326"/>
        <w:gridCol w:w="1329"/>
      </w:tblGrid>
      <w:tr w:rsidR="00A2105D" w14:paraId="50C20E86" w14:textId="77777777" w:rsidTr="001921CF">
        <w:trPr>
          <w:trHeight w:val="455"/>
          <w:jc w:val="center"/>
        </w:trPr>
        <w:tc>
          <w:tcPr>
            <w:tcW w:w="1311" w:type="dxa"/>
          </w:tcPr>
          <w:p w14:paraId="33F3CB00" w14:textId="77777777" w:rsidR="001921CF" w:rsidRDefault="001921CF" w:rsidP="001921CF">
            <w:pPr>
              <w:pStyle w:val="ListParagraph"/>
              <w:ind w:left="0"/>
              <w:rPr>
                <w:rFonts w:eastAsiaTheme="minorEastAsia"/>
              </w:rPr>
            </w:pPr>
          </w:p>
        </w:tc>
        <w:tc>
          <w:tcPr>
            <w:tcW w:w="1326" w:type="dxa"/>
          </w:tcPr>
          <w:p w14:paraId="2ABF9219" w14:textId="610CD968" w:rsidR="001921CF" w:rsidRDefault="001921CF" w:rsidP="001921CF">
            <w:pPr>
              <w:pStyle w:val="ListParagraph"/>
              <w:ind w:left="0"/>
              <w:rPr>
                <w:rFonts w:eastAsiaTheme="minorEastAsia"/>
              </w:rPr>
            </w:pPr>
            <w:r>
              <w:rPr>
                <w:rFonts w:eastAsiaTheme="minorEastAsia"/>
              </w:rPr>
              <w:t>l(mm)</w:t>
            </w:r>
          </w:p>
        </w:tc>
        <w:tc>
          <w:tcPr>
            <w:tcW w:w="1329" w:type="dxa"/>
          </w:tcPr>
          <w:p w14:paraId="12548D6B" w14:textId="72D11D3C" w:rsidR="001921CF" w:rsidRDefault="001921CF" w:rsidP="001921CF">
            <w:pPr>
              <w:pStyle w:val="ListParagraph"/>
              <w:ind w:left="0"/>
              <w:rPr>
                <w:rFonts w:eastAsiaTheme="minorEastAsia"/>
              </w:rPr>
            </w:pPr>
            <w:r>
              <w:rPr>
                <w:rFonts w:eastAsiaTheme="minorEastAsia" w:cstheme="minorHAnsi"/>
              </w:rPr>
              <w:t>σ</w:t>
            </w:r>
            <w:r>
              <w:rPr>
                <w:rFonts w:eastAsiaTheme="minorEastAsia"/>
              </w:rPr>
              <w:t>(MPa)</w:t>
            </w:r>
          </w:p>
        </w:tc>
      </w:tr>
      <w:tr w:rsidR="00A2105D" w14:paraId="7B1F1756" w14:textId="77777777" w:rsidTr="001921CF">
        <w:trPr>
          <w:trHeight w:val="426"/>
          <w:jc w:val="center"/>
        </w:trPr>
        <w:tc>
          <w:tcPr>
            <w:tcW w:w="1311" w:type="dxa"/>
          </w:tcPr>
          <w:p w14:paraId="3FB3FD8D" w14:textId="1067D528" w:rsidR="001921CF" w:rsidRDefault="001921CF" w:rsidP="001921CF">
            <w:pPr>
              <w:pStyle w:val="ListParagraph"/>
              <w:ind w:left="0"/>
              <w:rPr>
                <w:rFonts w:eastAsiaTheme="minorEastAsia"/>
              </w:rPr>
            </w:pPr>
            <w:r>
              <w:rPr>
                <w:rFonts w:eastAsiaTheme="minorEastAsia"/>
              </w:rPr>
              <w:t>Point 1</w:t>
            </w:r>
          </w:p>
        </w:tc>
        <w:tc>
          <w:tcPr>
            <w:tcW w:w="1326" w:type="dxa"/>
          </w:tcPr>
          <w:p w14:paraId="7712E003" w14:textId="0B398F57" w:rsidR="001921CF" w:rsidRDefault="001921CF" w:rsidP="001921CF">
            <w:pPr>
              <w:pStyle w:val="ListParagraph"/>
              <w:ind w:left="0"/>
              <w:rPr>
                <w:rFonts w:eastAsiaTheme="minorEastAsia"/>
              </w:rPr>
            </w:pPr>
            <w:r>
              <w:rPr>
                <w:rFonts w:eastAsiaTheme="minorEastAsia"/>
              </w:rPr>
              <w:t>55.08</w:t>
            </w:r>
          </w:p>
        </w:tc>
        <w:tc>
          <w:tcPr>
            <w:tcW w:w="1329" w:type="dxa"/>
          </w:tcPr>
          <w:p w14:paraId="2A28D278" w14:textId="4133ECAA" w:rsidR="001921CF" w:rsidRDefault="001921CF" w:rsidP="001921CF">
            <w:pPr>
              <w:pStyle w:val="ListParagraph"/>
              <w:ind w:left="0"/>
              <w:rPr>
                <w:rFonts w:eastAsiaTheme="minorEastAsia"/>
              </w:rPr>
            </w:pPr>
            <w:r>
              <w:rPr>
                <w:rFonts w:eastAsiaTheme="minorEastAsia"/>
              </w:rPr>
              <w:t>350</w:t>
            </w:r>
          </w:p>
        </w:tc>
      </w:tr>
      <w:tr w:rsidR="001921CF" w14:paraId="69B855B3" w14:textId="77777777" w:rsidTr="001921CF">
        <w:trPr>
          <w:trHeight w:val="426"/>
          <w:jc w:val="center"/>
        </w:trPr>
        <w:tc>
          <w:tcPr>
            <w:tcW w:w="1311" w:type="dxa"/>
          </w:tcPr>
          <w:p w14:paraId="495B58A3" w14:textId="576AD1C5" w:rsidR="001921CF" w:rsidRDefault="001921CF" w:rsidP="001921CF">
            <w:pPr>
              <w:pStyle w:val="ListParagraph"/>
              <w:ind w:left="0"/>
              <w:rPr>
                <w:rFonts w:eastAsiaTheme="minorEastAsia"/>
              </w:rPr>
            </w:pPr>
            <w:r>
              <w:rPr>
                <w:rFonts w:eastAsiaTheme="minorEastAsia"/>
              </w:rPr>
              <w:t>Point 2</w:t>
            </w:r>
          </w:p>
        </w:tc>
        <w:tc>
          <w:tcPr>
            <w:tcW w:w="1326" w:type="dxa"/>
          </w:tcPr>
          <w:p w14:paraId="50644AD1" w14:textId="1B67B771" w:rsidR="001921CF" w:rsidRDefault="001921CF" w:rsidP="001921CF">
            <w:pPr>
              <w:pStyle w:val="ListParagraph"/>
              <w:ind w:left="0"/>
              <w:rPr>
                <w:rFonts w:eastAsiaTheme="minorEastAsia"/>
              </w:rPr>
            </w:pPr>
            <w:r>
              <w:rPr>
                <w:rFonts w:eastAsiaTheme="minorEastAsia"/>
              </w:rPr>
              <w:t>70.90</w:t>
            </w:r>
          </w:p>
        </w:tc>
        <w:tc>
          <w:tcPr>
            <w:tcW w:w="1329" w:type="dxa"/>
          </w:tcPr>
          <w:p w14:paraId="32971974" w14:textId="021289C6" w:rsidR="001921CF" w:rsidRDefault="001921CF" w:rsidP="001921CF">
            <w:pPr>
              <w:pStyle w:val="ListParagraph"/>
              <w:ind w:left="0"/>
              <w:rPr>
                <w:rFonts w:eastAsiaTheme="minorEastAsia"/>
              </w:rPr>
            </w:pPr>
            <w:r>
              <w:rPr>
                <w:rFonts w:eastAsiaTheme="minorEastAsia"/>
              </w:rPr>
              <w:t>809</w:t>
            </w:r>
          </w:p>
        </w:tc>
      </w:tr>
    </w:tbl>
    <w:p w14:paraId="7FB93355" w14:textId="7AF8B870" w:rsidR="00184413" w:rsidRPr="00576524" w:rsidRDefault="00184413" w:rsidP="00184413">
      <w:pPr>
        <w:ind w:left="720" w:firstLine="720"/>
        <w:rPr>
          <w:rFonts w:eastAsiaTheme="minorEastAsia"/>
        </w:rPr>
      </w:pPr>
      <m:oMathPara>
        <m:oMathParaPr>
          <m:jc m:val="left"/>
        </m:oMathParaPr>
        <m:oMath>
          <m:r>
            <w:rPr>
              <w:rFonts w:ascii="Cambria Math" w:hAnsi="Cambria Math"/>
            </w:rPr>
            <m:t>true strain, ϵ=ln</m:t>
          </m:r>
          <m:d>
            <m:dPr>
              <m:ctrlPr>
                <w:rPr>
                  <w:rFonts w:ascii="Cambria Math" w:hAnsi="Cambria Math"/>
                  <w:i/>
                </w:rPr>
              </m:ctrlPr>
            </m:dPr>
            <m:e>
              <m:sSub>
                <m:sSubPr>
                  <m:ctrlPr>
                    <w:rPr>
                      <w:rFonts w:ascii="Cambria Math" w:hAnsi="Cambria Math"/>
                      <w:i/>
                    </w:rPr>
                  </m:ctrlPr>
                </m:sSubPr>
                <m:e>
                  <m:f>
                    <m:fPr>
                      <m:ctrlPr>
                        <w:rPr>
                          <w:rFonts w:ascii="Cambria Math" w:hAnsi="Cambria Math"/>
                          <w:i/>
                        </w:rPr>
                      </m:ctrlPr>
                    </m:fPr>
                    <m:num>
                      <m:r>
                        <w:rPr>
                          <w:rFonts w:ascii="Cambria Math" w:hAnsi="Cambria Math"/>
                        </w:rPr>
                        <m:t>l</m:t>
                      </m:r>
                    </m:num>
                    <m:den>
                      <m:r>
                        <w:rPr>
                          <w:rFonts w:ascii="Cambria Math" w:hAnsi="Cambria Math"/>
                        </w:rPr>
                        <m:t>l</m:t>
                      </m:r>
                    </m:den>
                  </m:f>
                </m:e>
                <m:sub>
                  <m:r>
                    <w:rPr>
                      <w:rFonts w:ascii="Cambria Math" w:hAnsi="Cambria Math"/>
                    </w:rPr>
                    <m:t>o</m:t>
                  </m:r>
                </m:sub>
              </m:sSub>
            </m:e>
          </m:d>
        </m:oMath>
      </m:oMathPara>
    </w:p>
    <w:p w14:paraId="2356FD24" w14:textId="3A19C93A" w:rsidR="00576524" w:rsidRPr="00576524" w:rsidRDefault="007E0E02" w:rsidP="00576524">
      <w:pPr>
        <w:ind w:left="720" w:firstLine="720"/>
        <w:rPr>
          <w:rFonts w:eastAsiaTheme="minorEastAsia"/>
          <w:sz w:val="12"/>
          <w:szCs w:val="12"/>
        </w:rPr>
      </w:pPr>
      <m:oMathPara>
        <m:oMathParaPr>
          <m:jc m:val="left"/>
        </m:oMathParaPr>
        <m:oMath>
          <m:r>
            <w:rPr>
              <w:rFonts w:ascii="Cambria Math" w:eastAsiaTheme="minorEastAsia" w:hAnsi="Cambria Math"/>
            </w:rPr>
            <m:t>σ=K</m:t>
          </m:r>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n</m:t>
              </m:r>
              <m:ctrlPr>
                <w:rPr>
                  <w:rFonts w:ascii="Cambria Math" w:eastAsiaTheme="minorEastAsia" w:hAnsi="Cambria Math"/>
                  <w:b/>
                  <w:bCs/>
                  <w:i/>
                </w:rPr>
              </m:ctrlPr>
            </m:sup>
          </m:sSup>
          <m:r>
            <m:rPr>
              <m:sty m:val="p"/>
            </m:rPr>
            <w:rPr>
              <w:rFonts w:eastAsiaTheme="minorEastAsia"/>
            </w:rPr>
            <w:br/>
          </m:r>
        </m:oMath>
        <m:oMath>
          <m:r>
            <w:rPr>
              <w:rFonts w:ascii="Cambria Math" w:eastAsiaTheme="minorEastAsia" w:hAnsi="Cambria Math"/>
            </w:rPr>
            <m:t>log σ=logK+nlogϵ</m:t>
          </m:r>
          <m:r>
            <w:rPr>
              <w:rFonts w:ascii="Cambria Math" w:eastAsiaTheme="minorEastAsia" w:hAnsi="Cambria Math"/>
            </w:rPr>
            <w:br/>
          </m:r>
        </m:oMath>
        <m:oMath>
          <m:r>
            <w:rPr>
              <w:rFonts w:ascii="Cambria Math" w:eastAsiaTheme="minorEastAsia" w:hAnsi="Cambria Math"/>
            </w:rPr>
            <m:t xml:space="preserve">at point 1, </m:t>
          </m:r>
          <m:r>
            <w:rPr>
              <w:rFonts w:ascii="Cambria Math" w:hAnsi="Cambria Math"/>
            </w:rPr>
            <m:t>ϵ=</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55.08</m:t>
                      </m:r>
                    </m:num>
                    <m:den>
                      <m:r>
                        <w:rPr>
                          <w:rFonts w:ascii="Cambria Math" w:hAnsi="Cambria Math"/>
                        </w:rPr>
                        <m:t>50</m:t>
                      </m:r>
                    </m:den>
                  </m:f>
                </m:e>
              </m:d>
            </m:e>
          </m:func>
          <m:r>
            <w:rPr>
              <w:rFonts w:ascii="Cambria Math" w:hAnsi="Cambria Math"/>
            </w:rPr>
            <m:t>=0.097</m:t>
          </m:r>
        </m:oMath>
      </m:oMathPara>
    </w:p>
    <w:p w14:paraId="325198E4" w14:textId="17C1BAAB" w:rsidR="00576524" w:rsidRPr="00FE76FB" w:rsidRDefault="007E0E02" w:rsidP="00FE76FB">
      <w:pPr>
        <w:ind w:left="720" w:firstLine="720"/>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350</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K+</m:t>
              </m:r>
            </m:e>
          </m:func>
          <m:r>
            <w:rPr>
              <w:rFonts w:ascii="Cambria Math" w:eastAsiaTheme="minorEastAsia" w:hAnsi="Cambria Math"/>
            </w:rPr>
            <m:t>n*log(</m:t>
          </m:r>
          <m:r>
            <w:rPr>
              <w:rFonts w:ascii="Cambria Math" w:hAnsi="Cambria Math"/>
            </w:rPr>
            <m:t>0.097</m:t>
          </m:r>
          <m:r>
            <w:rPr>
              <w:rFonts w:ascii="Cambria Math" w:hAnsi="Cambria Math"/>
            </w:rPr>
            <m:t>)</m:t>
          </m:r>
          <m:r>
            <m:rPr>
              <m:sty m:val="p"/>
            </m:rPr>
            <w:rPr>
              <w:rFonts w:eastAsiaTheme="minorEastAsia"/>
            </w:rPr>
            <w:br/>
          </m:r>
        </m:oMath>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K</m:t>
              </m:r>
            </m:e>
          </m:func>
          <m:r>
            <w:rPr>
              <w:rFonts w:ascii="Cambria Math" w:eastAsiaTheme="minorEastAsia" w:hAnsi="Cambria Math"/>
            </w:rPr>
            <m:t>=</m:t>
          </m:r>
          <m:r>
            <w:rPr>
              <w:rFonts w:ascii="Cambria Math" w:eastAsiaTheme="minorEastAsia" w:hAnsi="Cambria Math"/>
            </w:rPr>
            <m:t>5.86+2.33n</m:t>
          </m:r>
        </m:oMath>
      </m:oMathPara>
    </w:p>
    <w:p w14:paraId="34E6E42D" w14:textId="00194D6F" w:rsidR="007F3718" w:rsidRDefault="007E0E02" w:rsidP="007F3718">
      <w:pPr>
        <w:ind w:left="720" w:firstLine="720"/>
        <w:rPr>
          <w:rFonts w:eastAsiaTheme="minorEastAsia"/>
          <w:b/>
          <w:bCs/>
        </w:rPr>
      </w:pPr>
      <m:oMathPara>
        <m:oMathParaPr>
          <m:jc m:val="left"/>
        </m:oMathParaPr>
        <m:oMath>
          <m:r>
            <w:rPr>
              <w:rFonts w:ascii="Cambria Math" w:eastAsiaTheme="minorEastAsia" w:hAnsi="Cambria Math"/>
            </w:rPr>
            <m:t xml:space="preserve">at point 2, </m:t>
          </m:r>
          <m:r>
            <w:rPr>
              <w:rFonts w:ascii="Cambria Math" w:hAnsi="Cambria Math"/>
            </w:rPr>
            <m:t>ϵ=</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70.90</m:t>
                      </m:r>
                    </m:num>
                    <m:den>
                      <m:r>
                        <w:rPr>
                          <w:rFonts w:ascii="Cambria Math" w:hAnsi="Cambria Math"/>
                        </w:rPr>
                        <m:t>50</m:t>
                      </m:r>
                    </m:den>
                  </m:f>
                </m:e>
              </m:d>
            </m:e>
          </m:func>
          <m:r>
            <w:rPr>
              <w:rFonts w:ascii="Cambria Math" w:hAnsi="Cambria Math"/>
            </w:rPr>
            <m:t>=0.34</m:t>
          </m:r>
          <m:r>
            <w:rPr>
              <w:rFonts w:ascii="Cambria Math" w:hAnsi="Cambria Math"/>
            </w:rPr>
            <m:t>9</m:t>
          </m:r>
          <m:r>
            <m:rPr>
              <m:sty m:val="p"/>
            </m:rPr>
            <w:rPr>
              <w:rFonts w:eastAsiaTheme="minorEastAsia"/>
            </w:rPr>
            <w:br/>
          </m:r>
        </m:oMath>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809</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K-</m:t>
              </m:r>
            </m:e>
          </m:func>
          <m:r>
            <w:rPr>
              <w:rFonts w:ascii="Cambria Math" w:eastAsiaTheme="minorEastAsia" w:hAnsi="Cambria Math"/>
            </w:rPr>
            <m:t>1.05n</m:t>
          </m:r>
          <m:r>
            <m:rPr>
              <m:sty m:val="p"/>
            </m:rPr>
            <w:rPr>
              <w:rFonts w:eastAsiaTheme="minorEastAsia"/>
            </w:rPr>
            <w:br/>
          </m:r>
        </m:oMath>
        <m:oMath>
          <m:r>
            <w:rPr>
              <w:rFonts w:ascii="Cambria Math" w:eastAsiaTheme="minorEastAsia" w:hAnsi="Cambria Math"/>
            </w:rPr>
            <m:t>6.69</m:t>
          </m:r>
          <m:r>
            <w:rPr>
              <w:rFonts w:ascii="Cambria Math" w:eastAsiaTheme="minorEastAsia" w:hAnsi="Cambria Math"/>
            </w:rPr>
            <m:t>=</m:t>
          </m:r>
          <m:r>
            <w:rPr>
              <w:rFonts w:ascii="Cambria Math" w:eastAsiaTheme="minorEastAsia" w:hAnsi="Cambria Math"/>
            </w:rPr>
            <m:t>5.86+2.33n-1.05n</m:t>
          </m:r>
          <m:r>
            <m:rPr>
              <m:sty m:val="p"/>
            </m:rPr>
            <w:rPr>
              <w:rFonts w:eastAsiaTheme="minorEastAsia"/>
            </w:rPr>
            <w:br/>
          </m:r>
        </m:oMath>
        <m:oMath>
          <m:r>
            <w:rPr>
              <w:rFonts w:ascii="Cambria Math" w:eastAsiaTheme="minorEastAsia" w:hAnsi="Cambria Math"/>
            </w:rPr>
            <m:t>0.836</m:t>
          </m:r>
          <m:r>
            <w:rPr>
              <w:rFonts w:ascii="Cambria Math" w:eastAsiaTheme="minorEastAsia" w:hAnsi="Cambria Math"/>
            </w:rPr>
            <m:t>=</m:t>
          </m:r>
          <m:r>
            <w:rPr>
              <w:rFonts w:ascii="Cambria Math" w:eastAsiaTheme="minorEastAsia" w:hAnsi="Cambria Math"/>
            </w:rPr>
            <m:t>1.28n</m:t>
          </m:r>
          <m:r>
            <m:rPr>
              <m:sty m:val="p"/>
            </m:rPr>
            <w:rPr>
              <w:rFonts w:eastAsiaTheme="minorEastAsia"/>
            </w:rPr>
            <w:br/>
          </m:r>
        </m:oMath>
      </m:oMathPara>
      <m:oMath>
        <m:r>
          <m:rPr>
            <m:sty m:val="bi"/>
          </m:rPr>
          <w:rPr>
            <w:rFonts w:ascii="Cambria Math" w:hAnsi="Cambria Math"/>
          </w:rPr>
          <m:t>n=0.65</m:t>
        </m:r>
      </m:oMath>
      <w:r w:rsidR="007F3718">
        <w:rPr>
          <w:rFonts w:eastAsiaTheme="minorEastAsia"/>
          <w:b/>
          <w:bCs/>
        </w:rPr>
        <w:t xml:space="preserve"> </w:t>
      </w:r>
    </w:p>
    <w:p w14:paraId="64BA02B9" w14:textId="0C291FE4" w:rsidR="001921CF" w:rsidRPr="007F3718" w:rsidRDefault="007F3718" w:rsidP="007F3718">
      <w:pPr>
        <w:pStyle w:val="ListParagraph"/>
        <w:numPr>
          <w:ilvl w:val="0"/>
          <w:numId w:val="1"/>
        </w:numPr>
        <w:rPr>
          <w:rFonts w:eastAsiaTheme="minorEastAsia"/>
        </w:rPr>
      </w:pPr>
      <w:r>
        <w:rPr>
          <w:rFonts w:eastAsiaTheme="minorEastAsia"/>
        </w:rPr>
        <w:t>An iron grade with 2.5% carbon is held at</w:t>
      </w:r>
      <m:oMath>
        <m:r>
          <w:rPr>
            <w:rFonts w:ascii="Cambria Math" w:eastAsiaTheme="minorEastAsia" w:hAnsi="Cambria Math"/>
          </w:rPr>
          <m:t xml:space="preserve"> 1150</m:t>
        </m:r>
        <m:r>
          <w:rPr>
            <w:rFonts w:ascii="Cambria Math" w:eastAsiaTheme="minorEastAsia" w:hAnsi="Cambria Math"/>
          </w:rPr>
          <m:t xml:space="preserve"> ℃</m:t>
        </m:r>
      </m:oMath>
      <w:r>
        <w:rPr>
          <w:rFonts w:eastAsiaTheme="minorEastAsia"/>
        </w:rPr>
        <w:t>. Referring to the figure determine:</w:t>
      </w:r>
    </w:p>
    <w:p w14:paraId="7133D704" w14:textId="77777777" w:rsidR="002E0390" w:rsidRPr="002E0390" w:rsidRDefault="00FF2A11" w:rsidP="007F3718">
      <w:pPr>
        <w:pStyle w:val="ListParagraph"/>
        <w:numPr>
          <w:ilvl w:val="1"/>
          <w:numId w:val="1"/>
        </w:numPr>
        <w:rPr>
          <w:rFonts w:eastAsiaTheme="minorEastAsia"/>
        </w:rPr>
      </w:pPr>
      <w:r w:rsidRPr="00FF2A11">
        <w:drawing>
          <wp:anchor distT="0" distB="0" distL="114300" distR="114300" simplePos="0" relativeHeight="251659264" behindDoc="0" locked="0" layoutInCell="1" allowOverlap="1" wp14:anchorId="3F0155FF" wp14:editId="3C5F956E">
            <wp:simplePos x="0" y="0"/>
            <wp:positionH relativeFrom="column">
              <wp:posOffset>4448810</wp:posOffset>
            </wp:positionH>
            <wp:positionV relativeFrom="paragraph">
              <wp:posOffset>6350</wp:posOffset>
            </wp:positionV>
            <wp:extent cx="2389505" cy="1872615"/>
            <wp:effectExtent l="0" t="0" r="0" b="0"/>
            <wp:wrapSquare wrapText="bothSides"/>
            <wp:docPr id="172984703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47032"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89505" cy="1872615"/>
                    </a:xfrm>
                    <a:prstGeom prst="rect">
                      <a:avLst/>
                    </a:prstGeom>
                  </pic:spPr>
                </pic:pic>
              </a:graphicData>
            </a:graphic>
            <wp14:sizeRelH relativeFrom="margin">
              <wp14:pctWidth>0</wp14:pctWidth>
            </wp14:sizeRelH>
            <wp14:sizeRelV relativeFrom="margin">
              <wp14:pctHeight>0</wp14:pctHeight>
            </wp14:sizeRelV>
          </wp:anchor>
        </w:drawing>
      </w:r>
      <w:r w:rsidR="007F3718">
        <w:rPr>
          <w:rFonts w:eastAsiaTheme="minorEastAsia"/>
        </w:rPr>
        <w:t>What is the chemical composition of the solid?</w:t>
      </w:r>
      <w:r w:rsidR="002E0390">
        <w:rPr>
          <w:rFonts w:eastAsiaTheme="minorEastAsia"/>
        </w:rPr>
        <w:br/>
      </w:r>
      <m:oMathPara>
        <m:oMathParaPr>
          <m:jc m:val="left"/>
        </m:oMathParaPr>
        <m:oMath>
          <m:r>
            <w:rPr>
              <w:rFonts w:ascii="Cambria Math" w:hAnsi="Cambria Math"/>
            </w:rPr>
            <m:t xml:space="preserve">composition of solid, </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≈2.</m:t>
          </m:r>
          <m:r>
            <w:rPr>
              <w:rFonts w:ascii="Cambria Math" w:hAnsi="Cambria Math"/>
            </w:rPr>
            <m:t>1</m:t>
          </m:r>
        </m:oMath>
      </m:oMathPara>
    </w:p>
    <w:p w14:paraId="09DC994E" w14:textId="77777777" w:rsidR="003B1553" w:rsidRPr="003B1553" w:rsidRDefault="00B73AF2" w:rsidP="007F3718">
      <w:pPr>
        <w:pStyle w:val="ListParagraph"/>
        <w:numPr>
          <w:ilvl w:val="1"/>
          <w:numId w:val="1"/>
        </w:numPr>
        <w:rPr>
          <w:rFonts w:eastAsiaTheme="minorEastAsia"/>
        </w:rPr>
      </w:pPr>
      <w:r>
        <w:rPr>
          <w:rFonts w:eastAsiaTheme="minorEastAsia"/>
        </w:rPr>
        <w:t xml:space="preserve">What is the </w:t>
      </w:r>
      <w:r w:rsidR="008C034F">
        <w:rPr>
          <w:rFonts w:eastAsiaTheme="minorEastAsia"/>
        </w:rPr>
        <w:t xml:space="preserve">chemical composition </w:t>
      </w:r>
      <w:r w:rsidR="00032090">
        <w:rPr>
          <w:rFonts w:eastAsiaTheme="minorEastAsia"/>
        </w:rPr>
        <w:t>of the liquid?</w:t>
      </w:r>
      <w:r w:rsidR="00C8765B">
        <w:rPr>
          <w:rFonts w:eastAsiaTheme="minorEastAsia"/>
        </w:rPr>
        <w:br/>
      </w:r>
      <m:oMathPara>
        <m:oMathParaPr>
          <m:jc m:val="left"/>
        </m:oMathParaPr>
        <m:oMath>
          <m:r>
            <w:rPr>
              <w:rFonts w:ascii="Cambria Math" w:hAnsi="Cambria Math"/>
            </w:rPr>
            <m:t xml:space="preserve">composition of liquid, </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≈4.2</m:t>
          </m:r>
        </m:oMath>
      </m:oMathPara>
    </w:p>
    <w:p w14:paraId="092DDB42" w14:textId="60684E59" w:rsidR="007F3718" w:rsidRPr="00644B89" w:rsidRDefault="003F02B4" w:rsidP="00644B89">
      <w:pPr>
        <w:pStyle w:val="ListParagraph"/>
        <w:numPr>
          <w:ilvl w:val="1"/>
          <w:numId w:val="1"/>
        </w:numPr>
        <w:rPr>
          <w:rFonts w:eastAsiaTheme="minorEastAsia"/>
        </w:rPr>
      </w:pPr>
      <w:r>
        <w:rPr>
          <w:rFonts w:eastAsiaTheme="minorEastAsia"/>
        </w:rPr>
        <w:t xml:space="preserve">What </w:t>
      </w:r>
      <w:r w:rsidR="0017339C">
        <w:rPr>
          <w:rFonts w:eastAsiaTheme="minorEastAsia"/>
        </w:rPr>
        <w:t>fraction of the iron is solid?</w:t>
      </w:r>
      <w:r w:rsidR="00644B89">
        <w:rPr>
          <w:rFonts w:eastAsiaTheme="minorEastAsia"/>
        </w:rPr>
        <w:br/>
      </w:r>
      <m:oMathPara>
        <m:oMathParaPr>
          <m:jc m:val="left"/>
        </m:oMathParaPr>
        <m:oMath>
          <m:r>
            <w:rPr>
              <w:rFonts w:ascii="Cambria Math" w:eastAsiaTheme="minorEastAsia" w:hAnsi="Cambria Math"/>
            </w:rPr>
            <m:t>% solid=</m:t>
          </m:r>
          <m:f>
            <m:fPr>
              <m:ctrlPr>
                <w:rPr>
                  <w:rFonts w:ascii="Cambria Math" w:eastAsiaTheme="minorEastAsia" w:hAnsi="Cambria Math"/>
                  <w:i/>
                </w:rPr>
              </m:ctrlPr>
            </m:fPr>
            <m:num>
              <m:r>
                <w:rPr>
                  <w:rFonts w:ascii="Cambria Math" w:eastAsiaTheme="minorEastAsia" w:hAnsi="Cambria Math"/>
                </w:rPr>
                <m:t>4.2-2.5</m:t>
              </m:r>
            </m:num>
            <m:den>
              <m:r>
                <w:rPr>
                  <w:rFonts w:ascii="Cambria Math" w:eastAsiaTheme="minorEastAsia" w:hAnsi="Cambria Math"/>
                </w:rPr>
                <m:t>4.2-</m:t>
              </m:r>
              <m:r>
                <w:rPr>
                  <w:rFonts w:ascii="Cambria Math" w:eastAsiaTheme="minorEastAsia" w:hAnsi="Cambria Math"/>
                </w:rPr>
                <m:t>2.1</m:t>
              </m:r>
            </m:den>
          </m:f>
          <m:r>
            <w:rPr>
              <w:rFonts w:ascii="Cambria Math" w:eastAsiaTheme="minorEastAsia" w:hAnsi="Cambria Math"/>
            </w:rPr>
            <m:t>=</m:t>
          </m:r>
          <m:r>
            <w:rPr>
              <w:rFonts w:ascii="Cambria Math" w:eastAsiaTheme="minorEastAsia" w:hAnsi="Cambria Math"/>
            </w:rPr>
            <m:t>81</m:t>
          </m:r>
          <m:r>
            <w:rPr>
              <w:rFonts w:ascii="Cambria Math" w:eastAsiaTheme="minorEastAsia" w:hAnsi="Cambria Math"/>
            </w:rPr>
            <m:t>%</m:t>
          </m:r>
          <m:r>
            <w:rPr>
              <w:rFonts w:eastAsiaTheme="minorEastAsia"/>
            </w:rPr>
            <w:br/>
          </m:r>
        </m:oMath>
        <m:oMath>
          <m:f>
            <m:fPr>
              <m:ctrlPr>
                <w:rPr>
                  <w:rFonts w:ascii="Cambria Math" w:hAnsi="Cambria Math"/>
                  <w:i/>
                </w:rPr>
              </m:ctrlPr>
            </m:fPr>
            <m:num>
              <m:r>
                <w:rPr>
                  <w:rFonts w:ascii="Cambria Math" w:hAnsi="Cambria Math"/>
                </w:rPr>
                <m:t>S</m:t>
              </m:r>
            </m:num>
            <m:den>
              <m:r>
                <w:rPr>
                  <w:rFonts w:ascii="Cambria Math" w:hAnsi="Cambria Math"/>
                </w:rPr>
                <m:t>S+L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t>
                  </m:r>
                </m:sub>
              </m:sSub>
            </m:num>
            <m:den>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2.5-4.2</m:t>
              </m:r>
            </m:num>
            <m:den>
              <m:r>
                <w:rPr>
                  <w:rFonts w:ascii="Cambria Math" w:eastAsiaTheme="minorEastAsia" w:hAnsi="Cambria Math"/>
                </w:rPr>
                <m:t>2.1-</m:t>
              </m:r>
              <m:r>
                <w:rPr>
                  <w:rFonts w:ascii="Cambria Math" w:eastAsiaTheme="minorEastAsia" w:hAnsi="Cambria Math"/>
                </w:rPr>
                <m:t>4.2</m:t>
              </m:r>
            </m:den>
          </m:f>
          <m:r>
            <w:rPr>
              <w:rFonts w:ascii="Cambria Math" w:eastAsiaTheme="minorEastAsia" w:hAnsi="Cambria Math"/>
            </w:rPr>
            <m:t>=</m:t>
          </m:r>
          <m:r>
            <w:rPr>
              <w:rFonts w:ascii="Cambria Math" w:eastAsiaTheme="minorEastAsia" w:hAnsi="Cambria Math"/>
            </w:rPr>
            <m:t>81</m:t>
          </m:r>
          <m:r>
            <w:rPr>
              <w:rFonts w:ascii="Cambria Math" w:eastAsiaTheme="minorEastAsia" w:hAnsi="Cambria Math"/>
            </w:rPr>
            <m:t>%</m:t>
          </m:r>
          <m:r>
            <w:rPr>
              <w:rFonts w:ascii="Cambria Math" w:eastAsiaTheme="minorEastAsia" w:hAnsi="Cambria Math"/>
            </w:rPr>
            <w:br/>
          </m:r>
        </m:oMath>
        <m:oMath>
          <m:r>
            <w:rPr>
              <w:rFonts w:ascii="Cambria Math" w:eastAsiaTheme="minorEastAsia" w:hAnsi="Cambria Math"/>
            </w:rPr>
            <m:t>% liquid=</m:t>
          </m:r>
          <m:f>
            <m:fPr>
              <m:ctrlPr>
                <w:rPr>
                  <w:rFonts w:ascii="Cambria Math" w:eastAsiaTheme="minorEastAsia" w:hAnsi="Cambria Math"/>
                  <w:i/>
                </w:rPr>
              </m:ctrlPr>
            </m:fPr>
            <m:num>
              <m:r>
                <w:rPr>
                  <w:rFonts w:ascii="Cambria Math" w:eastAsiaTheme="minorEastAsia" w:hAnsi="Cambria Math"/>
                </w:rPr>
                <m:t>2.5-</m:t>
              </m:r>
              <m:r>
                <w:rPr>
                  <w:rFonts w:ascii="Cambria Math" w:eastAsiaTheme="minorEastAsia" w:hAnsi="Cambria Math"/>
                </w:rPr>
                <m:t>2.1</m:t>
              </m:r>
            </m:num>
            <m:den>
              <m:r>
                <w:rPr>
                  <w:rFonts w:ascii="Cambria Math" w:eastAsiaTheme="minorEastAsia" w:hAnsi="Cambria Math"/>
                </w:rPr>
                <m:t>4.2-2.1</m:t>
              </m:r>
            </m:den>
          </m:f>
          <m:r>
            <w:rPr>
              <w:rFonts w:ascii="Cambria Math" w:eastAsiaTheme="minorEastAsia" w:hAnsi="Cambria Math"/>
            </w:rPr>
            <m:t>=</m:t>
          </m:r>
          <m:r>
            <w:rPr>
              <w:rFonts w:ascii="Cambria Math" w:eastAsiaTheme="minorEastAsia" w:hAnsi="Cambria Math"/>
            </w:rPr>
            <m:t>19</m:t>
          </m:r>
          <m:r>
            <w:rPr>
              <w:rFonts w:ascii="Cambria Math" w:eastAsiaTheme="minorEastAsia" w:hAnsi="Cambria Math"/>
            </w:rPr>
            <m:t>%</m:t>
          </m:r>
          <m:r>
            <w:rPr>
              <w:rFonts w:eastAsiaTheme="minorEastAsia"/>
            </w:rPr>
            <w:br/>
          </m:r>
        </m:oMath>
      </m:oMathPara>
      <w:r w:rsidR="001F5C17" w:rsidRPr="00644B89">
        <w:rPr>
          <w:b/>
          <w:bCs/>
          <w:noProof/>
        </w:rPr>
        <w:t xml:space="preserve"> </w:t>
      </w:r>
    </w:p>
    <w:p w14:paraId="78809D33" w14:textId="4C5C2F6F" w:rsidR="007F3718" w:rsidRPr="007F3718" w:rsidRDefault="007F3718" w:rsidP="008452E3">
      <w:pPr>
        <w:pStyle w:val="ListParagraph"/>
        <w:ind w:left="1440"/>
        <w:rPr>
          <w:rFonts w:eastAsiaTheme="minorEastAsia"/>
        </w:rPr>
      </w:pPr>
    </w:p>
    <w:p w14:paraId="1C9603DC" w14:textId="5EC9ED8C" w:rsidR="00462532" w:rsidRPr="001921CF" w:rsidRDefault="00462532" w:rsidP="001921CF">
      <w:pPr>
        <w:rPr>
          <w:rFonts w:eastAsiaTheme="minorEastAsia"/>
        </w:rPr>
      </w:pPr>
    </w:p>
    <w:p w14:paraId="1FB3506A" w14:textId="5272FA99" w:rsidR="00D5257E" w:rsidRPr="008817BB" w:rsidRDefault="00D5257E" w:rsidP="00D5257E">
      <w:pPr>
        <w:pStyle w:val="ListParagraph"/>
        <w:ind w:left="1440"/>
      </w:pPr>
    </w:p>
    <w:p w14:paraId="281CCA89" w14:textId="0A1F1FFB" w:rsidR="00280F78" w:rsidRPr="006214A2" w:rsidRDefault="00280F78" w:rsidP="006214A2">
      <w:pPr>
        <w:pStyle w:val="ListParagraph"/>
        <w:ind w:left="1440"/>
      </w:pPr>
    </w:p>
    <w:p w14:paraId="115D3273" w14:textId="77777777" w:rsidR="006214A2" w:rsidRPr="000D2E36" w:rsidRDefault="006214A2" w:rsidP="006214A2"/>
    <w:p w14:paraId="6FD7A597" w14:textId="77777777" w:rsidR="00717F23" w:rsidRPr="00965C93" w:rsidRDefault="00717F23" w:rsidP="00965C93">
      <w:pPr>
        <w:ind w:left="1440"/>
      </w:pPr>
    </w:p>
    <w:sectPr w:rsidR="00717F23" w:rsidRPr="00965C93" w:rsidSect="00965C93">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C35E7"/>
    <w:multiLevelType w:val="hybridMultilevel"/>
    <w:tmpl w:val="91E22F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269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93"/>
    <w:rsid w:val="0002268F"/>
    <w:rsid w:val="00024E98"/>
    <w:rsid w:val="00032090"/>
    <w:rsid w:val="00045760"/>
    <w:rsid w:val="0005102B"/>
    <w:rsid w:val="00086B6E"/>
    <w:rsid w:val="0009506D"/>
    <w:rsid w:val="000A303F"/>
    <w:rsid w:val="000D2E36"/>
    <w:rsid w:val="000E6C46"/>
    <w:rsid w:val="001132FA"/>
    <w:rsid w:val="00117463"/>
    <w:rsid w:val="00127183"/>
    <w:rsid w:val="00164A82"/>
    <w:rsid w:val="0017339C"/>
    <w:rsid w:val="00174622"/>
    <w:rsid w:val="00184413"/>
    <w:rsid w:val="001921CF"/>
    <w:rsid w:val="001E1E29"/>
    <w:rsid w:val="001F5C17"/>
    <w:rsid w:val="00201F56"/>
    <w:rsid w:val="00223E7D"/>
    <w:rsid w:val="00247188"/>
    <w:rsid w:val="002610F6"/>
    <w:rsid w:val="00266752"/>
    <w:rsid w:val="00280DF7"/>
    <w:rsid w:val="00280F78"/>
    <w:rsid w:val="002B1915"/>
    <w:rsid w:val="002E0390"/>
    <w:rsid w:val="00306992"/>
    <w:rsid w:val="00330C0B"/>
    <w:rsid w:val="00361E9A"/>
    <w:rsid w:val="003721CF"/>
    <w:rsid w:val="00385D63"/>
    <w:rsid w:val="003A0F76"/>
    <w:rsid w:val="003B1553"/>
    <w:rsid w:val="003B7452"/>
    <w:rsid w:val="003D3014"/>
    <w:rsid w:val="003F02B4"/>
    <w:rsid w:val="0045700C"/>
    <w:rsid w:val="00462532"/>
    <w:rsid w:val="00497266"/>
    <w:rsid w:val="004A2E08"/>
    <w:rsid w:val="00533283"/>
    <w:rsid w:val="00576524"/>
    <w:rsid w:val="005F7D19"/>
    <w:rsid w:val="006214A2"/>
    <w:rsid w:val="00644B89"/>
    <w:rsid w:val="0067132D"/>
    <w:rsid w:val="006845AA"/>
    <w:rsid w:val="006874DA"/>
    <w:rsid w:val="00691217"/>
    <w:rsid w:val="006F1B1C"/>
    <w:rsid w:val="00717F23"/>
    <w:rsid w:val="00742E21"/>
    <w:rsid w:val="00757E4E"/>
    <w:rsid w:val="00787C7B"/>
    <w:rsid w:val="007E0E02"/>
    <w:rsid w:val="007E296D"/>
    <w:rsid w:val="007F3718"/>
    <w:rsid w:val="00803885"/>
    <w:rsid w:val="008150B9"/>
    <w:rsid w:val="00816137"/>
    <w:rsid w:val="00831CB3"/>
    <w:rsid w:val="008452E3"/>
    <w:rsid w:val="00845FEE"/>
    <w:rsid w:val="00876972"/>
    <w:rsid w:val="00876CCC"/>
    <w:rsid w:val="008817BB"/>
    <w:rsid w:val="008C034F"/>
    <w:rsid w:val="008C123A"/>
    <w:rsid w:val="008F0D12"/>
    <w:rsid w:val="00916C43"/>
    <w:rsid w:val="009467CD"/>
    <w:rsid w:val="00965C93"/>
    <w:rsid w:val="00966CD4"/>
    <w:rsid w:val="00995C3E"/>
    <w:rsid w:val="009D51DF"/>
    <w:rsid w:val="00A2105D"/>
    <w:rsid w:val="00A53EB3"/>
    <w:rsid w:val="00A53F5D"/>
    <w:rsid w:val="00A743DA"/>
    <w:rsid w:val="00AB70A6"/>
    <w:rsid w:val="00B22761"/>
    <w:rsid w:val="00B73AF2"/>
    <w:rsid w:val="00BA72A6"/>
    <w:rsid w:val="00BC211F"/>
    <w:rsid w:val="00BE46ED"/>
    <w:rsid w:val="00C7123A"/>
    <w:rsid w:val="00C773B9"/>
    <w:rsid w:val="00C8765B"/>
    <w:rsid w:val="00D01576"/>
    <w:rsid w:val="00D142E0"/>
    <w:rsid w:val="00D26E52"/>
    <w:rsid w:val="00D5257E"/>
    <w:rsid w:val="00DB2AE1"/>
    <w:rsid w:val="00DC001B"/>
    <w:rsid w:val="00DD7D0A"/>
    <w:rsid w:val="00DF3D2F"/>
    <w:rsid w:val="00DF55B0"/>
    <w:rsid w:val="00E20347"/>
    <w:rsid w:val="00ED26E9"/>
    <w:rsid w:val="00ED4126"/>
    <w:rsid w:val="00F54CF6"/>
    <w:rsid w:val="00F6385F"/>
    <w:rsid w:val="00F97EC2"/>
    <w:rsid w:val="00FB6F20"/>
    <w:rsid w:val="00FD29FD"/>
    <w:rsid w:val="00FE76FB"/>
    <w:rsid w:val="00FF2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0939D"/>
  <w15:chartTrackingRefBased/>
  <w15:docId w15:val="{D042587C-EDA4-4CA3-AF3F-3881CA066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C93"/>
    <w:pPr>
      <w:ind w:left="720"/>
      <w:contextualSpacing/>
    </w:pPr>
  </w:style>
  <w:style w:type="character" w:styleId="PlaceholderText">
    <w:name w:val="Placeholder Text"/>
    <w:basedOn w:val="DefaultParagraphFont"/>
    <w:uiPriority w:val="99"/>
    <w:semiHidden/>
    <w:rsid w:val="008817BB"/>
    <w:rPr>
      <w:color w:val="808080"/>
    </w:rPr>
  </w:style>
  <w:style w:type="table" w:styleId="TableGrid">
    <w:name w:val="Table Grid"/>
    <w:basedOn w:val="TableNormal"/>
    <w:uiPriority w:val="39"/>
    <w:rsid w:val="00192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606</Words>
  <Characters>3458</Characters>
  <Application>Microsoft Office Word</Application>
  <DocSecurity>4</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Senami Hodonu</dc:creator>
  <cp:keywords/>
  <dc:description/>
  <cp:lastModifiedBy>Senami Hodonu</cp:lastModifiedBy>
  <cp:revision>73</cp:revision>
  <dcterms:created xsi:type="dcterms:W3CDTF">2023-05-06T20:25:00Z</dcterms:created>
  <dcterms:modified xsi:type="dcterms:W3CDTF">2023-05-08T02:03:00Z</dcterms:modified>
</cp:coreProperties>
</file>