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6CAC" w14:textId="77777777" w:rsidR="00DE7D0D" w:rsidRDefault="00DE7D0D" w:rsidP="004F54F1">
      <w:pPr>
        <w:rPr>
          <w:b/>
          <w:bCs/>
        </w:rPr>
      </w:pPr>
      <w:r w:rsidRPr="00DE7D0D">
        <w:rPr>
          <w:b/>
          <w:bCs/>
        </w:rPr>
        <w:t>10.35 Describe the advantages of applying traditional metalworking techniques to the formation of plastics.</w:t>
      </w:r>
    </w:p>
    <w:p w14:paraId="26245C3E" w14:textId="5B8EF47B" w:rsidR="002937B6" w:rsidRDefault="002937B6" w:rsidP="002937B6">
      <w:r>
        <w:t>Traditional metalworking techniques can be applied to the formation of plastics with few, or no</w:t>
      </w:r>
      <w:r>
        <w:t xml:space="preserve"> </w:t>
      </w:r>
      <w:r>
        <w:t xml:space="preserve">additional operations required. Compared to metals, plastics melt or cure at relatively </w:t>
      </w:r>
      <w:r w:rsidR="003D2714">
        <w:t>lower temperatures</w:t>
      </w:r>
      <w:r>
        <w:t>, this makes plastics easier to handle and require less energy to process.</w:t>
      </w:r>
    </w:p>
    <w:p w14:paraId="275E7800" w14:textId="77777777" w:rsidR="003D2714" w:rsidRDefault="003D2714" w:rsidP="002A3773">
      <w:pPr>
        <w:rPr>
          <w:b/>
          <w:bCs/>
        </w:rPr>
      </w:pPr>
      <w:r w:rsidRPr="003D2714">
        <w:rPr>
          <w:b/>
          <w:bCs/>
        </w:rPr>
        <w:t>10.38 Would you use thermosetting plastics for injection molding? Explain.</w:t>
      </w:r>
    </w:p>
    <w:p w14:paraId="54358E79" w14:textId="316E3685" w:rsidR="00E55828" w:rsidRDefault="00E55828" w:rsidP="00E55828">
      <w:r>
        <w:t>Due to the irreversible polymerization and crosslinking</w:t>
      </w:r>
      <w:r>
        <w:t xml:space="preserve"> that occur</w:t>
      </w:r>
      <w:r>
        <w:t xml:space="preserve"> during the molding of thermosets, conventions injection molding methods are not suitable. Instead, thermosets are molded in heated molds, where polymerization and cross-linking take place. After the part is sufficiently cured, the molds are opened, and the part is ejected. Essentially in thermoset injection molding, cold material is injected into an extremely hot mold to create a part.</w:t>
      </w:r>
    </w:p>
    <w:p w14:paraId="0EFD6975" w14:textId="7313A889" w:rsidR="004F54F1" w:rsidRDefault="001C4A72" w:rsidP="00E55828">
      <w:pPr>
        <w:rPr>
          <w:b/>
          <w:bCs/>
        </w:rPr>
      </w:pPr>
      <w:r w:rsidRPr="001C4A72">
        <w:rPr>
          <w:b/>
          <w:bCs/>
        </w:rPr>
        <w:t>10.39 By inspecting plastic containers, such as for baby powder, you can see that the lettering on them is raised rather than sunk. Can you offer an explanation as to why they are molded in that way?</w:t>
      </w:r>
    </w:p>
    <w:p w14:paraId="3AD694F3" w14:textId="509D36B5" w:rsidR="00FF54C5" w:rsidRPr="00FF54C5" w:rsidRDefault="00FF54C5" w:rsidP="004F54F1">
      <w:r w:rsidRPr="00FF54C5">
        <w:t xml:space="preserve">Raising the lettering on an injection molded part may be </w:t>
      </w:r>
      <w:r w:rsidRPr="00FF54C5">
        <w:t>preferred</w:t>
      </w:r>
      <w:r w:rsidRPr="00FF54C5">
        <w:t xml:space="preserve"> to sinking the lettering due firstly, the ease of manufacturability of the part. Raised lettering can be easily stamped into the mold, </w:t>
      </w:r>
      <w:r w:rsidRPr="00FF54C5">
        <w:t>whereas</w:t>
      </w:r>
      <w:r w:rsidRPr="00FF54C5">
        <w:t xml:space="preserve"> a sunk lettering may require a more complex </w:t>
      </w:r>
      <w:r>
        <w:t xml:space="preserve">mold </w:t>
      </w:r>
      <w:r w:rsidRPr="00FF54C5">
        <w:t xml:space="preserve">design which may increase the manufacturing cost. Secondly, the sunk lettering may fade faster over time </w:t>
      </w:r>
      <w:r w:rsidRPr="00FF54C5">
        <w:t>compared</w:t>
      </w:r>
      <w:r w:rsidRPr="00FF54C5">
        <w:t xml:space="preserve"> to the </w:t>
      </w:r>
      <w:r w:rsidRPr="00FF54C5">
        <w:t>raised</w:t>
      </w:r>
      <w:r w:rsidRPr="00FF54C5">
        <w:t xml:space="preserve"> lettering. And finally, </w:t>
      </w:r>
      <w:r>
        <w:t xml:space="preserve">the </w:t>
      </w:r>
      <w:r w:rsidRPr="00FF54C5">
        <w:t xml:space="preserve">raised lettering can have a more </w:t>
      </w:r>
      <w:r w:rsidRPr="00FF54C5">
        <w:t>pleasing</w:t>
      </w:r>
      <w:r w:rsidRPr="00FF54C5">
        <w:t xml:space="preserve"> tactile quality, </w:t>
      </w:r>
      <w:r w:rsidRPr="00FF54C5">
        <w:t>which</w:t>
      </w:r>
      <w:r w:rsidRPr="00FF54C5">
        <w:t xml:space="preserve"> may </w:t>
      </w:r>
      <w:r w:rsidRPr="00FF54C5">
        <w:t>enhance</w:t>
      </w:r>
      <w:r w:rsidRPr="00FF54C5">
        <w:t xml:space="preserve"> the overall aesthetic of the part.  </w:t>
      </w:r>
    </w:p>
    <w:p w14:paraId="3E75C808" w14:textId="77777777" w:rsidR="00B93624" w:rsidRDefault="003724EA" w:rsidP="006C2ADA">
      <w:pPr>
        <w:rPr>
          <w:b/>
          <w:bCs/>
        </w:rPr>
      </w:pPr>
      <w:r w:rsidRPr="003724EA">
        <w:rPr>
          <w:b/>
          <w:bCs/>
        </w:rPr>
        <w:t>10.40 Give examples of several parts that are suitable for insert molding. How would you</w:t>
      </w:r>
      <w:r>
        <w:rPr>
          <w:b/>
          <w:bCs/>
        </w:rPr>
        <w:t xml:space="preserve"> </w:t>
      </w:r>
      <w:r w:rsidRPr="003724EA">
        <w:rPr>
          <w:b/>
          <w:bCs/>
        </w:rPr>
        <w:t>manufacture these parts if insert molding were not available?</w:t>
      </w:r>
      <w:r>
        <w:rPr>
          <w:b/>
          <w:bCs/>
        </w:rPr>
        <w:t xml:space="preserve"> </w:t>
      </w:r>
    </w:p>
    <w:p w14:paraId="381FBBAE" w14:textId="22B5C2E5" w:rsidR="005A4078" w:rsidRDefault="00C319B9" w:rsidP="00B93624">
      <w:pPr>
        <w:rPr>
          <w:b/>
          <w:bCs/>
        </w:rPr>
      </w:pPr>
      <w:r>
        <w:rPr>
          <w:noProof/>
        </w:rPr>
        <w:drawing>
          <wp:anchor distT="0" distB="0" distL="114300" distR="114300" simplePos="0" relativeHeight="251658240" behindDoc="0" locked="0" layoutInCell="1" allowOverlap="1" wp14:anchorId="2A5FF3FC" wp14:editId="7A083E80">
            <wp:simplePos x="0" y="0"/>
            <wp:positionH relativeFrom="margin">
              <wp:align>left</wp:align>
            </wp:positionH>
            <wp:positionV relativeFrom="paragraph">
              <wp:posOffset>1579307</wp:posOffset>
            </wp:positionV>
            <wp:extent cx="3954920" cy="1572250"/>
            <wp:effectExtent l="0" t="0" r="7620" b="9525"/>
            <wp:wrapSquare wrapText="bothSides"/>
            <wp:docPr id="475735456" name="Picture 4757354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35456"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920" cy="1572250"/>
                    </a:xfrm>
                    <a:prstGeom prst="rect">
                      <a:avLst/>
                    </a:prstGeom>
                  </pic:spPr>
                </pic:pic>
              </a:graphicData>
            </a:graphic>
          </wp:anchor>
        </w:drawing>
      </w:r>
      <w:r w:rsidR="00B93624">
        <w:t xml:space="preserve">Parts that are suitable for insert molding include threaded inserts, screw drivers, </w:t>
      </w:r>
      <w:r w:rsidR="00B93624">
        <w:t>electrical</w:t>
      </w:r>
      <w:r w:rsidR="00B93624">
        <w:t xml:space="preserve"> and computer components (</w:t>
      </w:r>
      <w:r w:rsidR="00B93624">
        <w:t>i.e.,</w:t>
      </w:r>
      <w:r w:rsidR="00B93624">
        <w:t xml:space="preserve"> </w:t>
      </w:r>
      <w:r w:rsidR="00B93624">
        <w:t xml:space="preserve">USB </w:t>
      </w:r>
      <w:r w:rsidR="00B93624">
        <w:t>drives, wall plug-ins). Without insert molding,</w:t>
      </w:r>
      <w:r w:rsidR="00B93624">
        <w:t xml:space="preserve"> </w:t>
      </w:r>
      <w:r w:rsidR="00B93624">
        <w:t>these parts may be manufactured using drilling and tapping the molded part, fasteners, adhesive.</w:t>
      </w:r>
      <w:r w:rsidR="00F101BA">
        <w:br/>
      </w:r>
      <w:r w:rsidR="00F101BA">
        <w:br/>
      </w:r>
      <w:r w:rsidR="00BC7E6F" w:rsidRPr="00BC7E6F">
        <w:rPr>
          <w:b/>
          <w:bCs/>
        </w:rPr>
        <w:t xml:space="preserve">10.90 A rectangular cantilever beam 100 mm high, 50 mm wide, and 1 m long is subjected to a concentrated force of 100 N at its end. Select two different unreinforced and reinforced materials from Table </w:t>
      </w:r>
      <w:r w:rsidR="00BC7E6F" w:rsidRPr="00BC7E6F">
        <w:rPr>
          <w:b/>
          <w:bCs/>
        </w:rPr>
        <w:t>10.1 and</w:t>
      </w:r>
      <w:r w:rsidR="00BC7E6F" w:rsidRPr="00BC7E6F">
        <w:rPr>
          <w:b/>
          <w:bCs/>
        </w:rPr>
        <w:t xml:space="preserve"> calculate the maximum deflection of the beam. Then select aluminum and steel, and for the same beam dimensions, calculate the maximum deflection. Compare the results.</w:t>
      </w:r>
    </w:p>
    <w:p w14:paraId="7588E931" w14:textId="77C87FC0"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width, b = 50 mm</m:t>
          </m:r>
        </m:oMath>
      </m:oMathPara>
    </w:p>
    <w:p w14:paraId="2066F1B1" w14:textId="7E469BC5"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height, d = 100 mm</m:t>
          </m:r>
        </m:oMath>
      </m:oMathPara>
    </w:p>
    <w:p w14:paraId="2852D491" w14:textId="314B1D25"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length, L =  1 m</m:t>
          </m:r>
        </m:oMath>
      </m:oMathPara>
    </w:p>
    <w:p w14:paraId="0BDFEE9A" w14:textId="21A06E57" w:rsidR="00B27A2C" w:rsidRDefault="00C319B9" w:rsidP="00C319B9">
      <w:pPr>
        <w:jc w:val="right"/>
        <w:rPr>
          <w:rFonts w:eastAsiaTheme="minorEastAsia"/>
        </w:rPr>
      </w:pPr>
      <m:oMathPara>
        <m:oMathParaPr>
          <m:jc m:val="left"/>
        </m:oMathParaPr>
        <m:oMath>
          <m:r>
            <w:rPr>
              <w:rFonts w:ascii="Cambria Math" w:eastAsiaTheme="minorEastAsia" w:hAnsi="Cambria Math"/>
            </w:rPr>
            <m:t>point load, P = 100 N</m:t>
          </m:r>
          <m:r>
            <w:rPr>
              <w:rFonts w:eastAsiaTheme="minorEastAsia"/>
            </w:rPr>
            <w:br/>
          </m:r>
        </m:oMath>
      </m:oMathPara>
    </w:p>
    <w:p w14:paraId="78757375" w14:textId="1412E36E" w:rsidR="006B76B4" w:rsidRPr="00527600" w:rsidRDefault="00B27A2C" w:rsidP="006B76B4">
      <w:pPr>
        <w:rPr>
          <w:rFonts w:ascii="Cambria Math" w:hAnsi="Cambria Math"/>
          <w:oMath/>
        </w:rPr>
      </w:pPr>
      <w:r>
        <w:rPr>
          <w:rFonts w:eastAsiaTheme="minorEastAsia"/>
        </w:rPr>
        <w:br w:type="page"/>
      </w:r>
      <m:oMathPara>
        <m:oMathParaPr>
          <m:jc m:val="left"/>
        </m:oMathParaPr>
        <m:oMath>
          <m:r>
            <w:rPr>
              <w:rFonts w:ascii="Cambria Math" w:hAnsi="Cambria Math"/>
            </w:rPr>
            <w:lastRenderedPageBreak/>
            <m:t xml:space="preserve">Acetal </m:t>
          </m:r>
        </m:oMath>
      </m:oMathPara>
    </w:p>
    <w:p w14:paraId="4CDB56F9" w14:textId="392F8D04"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1.4-3.5</m:t>
          </m:r>
        </m:oMath>
      </m:oMathPara>
    </w:p>
    <w:p w14:paraId="15A477E2" w14:textId="0B793C63" w:rsidR="006B76B4" w:rsidRPr="00527600" w:rsidRDefault="00527600" w:rsidP="006B76B4">
      <w:pPr>
        <w:rPr>
          <w:rFonts w:ascii="Cambria Math" w:hAnsi="Cambria Math"/>
          <w:oMath/>
        </w:rPr>
      </w:pPr>
      <m:oMathPara>
        <m:oMathParaPr>
          <m:jc m:val="left"/>
        </m:oMathParaPr>
        <m:oMath>
          <m:r>
            <w:rPr>
              <w:rFonts w:ascii="Cambria Math" w:hAnsi="Cambria Math"/>
            </w:rPr>
            <m:t>Acetal, reinforced.</m:t>
          </m:r>
        </m:oMath>
      </m:oMathPara>
    </w:p>
    <w:p w14:paraId="6197E261" w14:textId="51EAE1FB"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10</m:t>
          </m:r>
        </m:oMath>
      </m:oMathPara>
    </w:p>
    <w:p w14:paraId="1AD495CE" w14:textId="13BF8E68" w:rsidR="006B76B4" w:rsidRPr="00527600" w:rsidRDefault="00527600" w:rsidP="006B76B4">
      <w:pPr>
        <w:rPr>
          <w:rFonts w:ascii="Cambria Math" w:hAnsi="Cambria Math"/>
          <w:oMath/>
        </w:rPr>
      </w:pPr>
      <m:oMathPara>
        <m:oMathParaPr>
          <m:jc m:val="left"/>
        </m:oMathParaPr>
        <m:oMath>
          <m:r>
            <w:rPr>
              <w:rFonts w:ascii="Cambria Math" w:hAnsi="Cambria Math"/>
            </w:rPr>
            <m:t>Polycarbonate</m:t>
          </m:r>
        </m:oMath>
      </m:oMathPara>
    </w:p>
    <w:p w14:paraId="6883CF42" w14:textId="056184CF"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2.5-3</m:t>
          </m:r>
        </m:oMath>
      </m:oMathPara>
    </w:p>
    <w:p w14:paraId="23B3057F" w14:textId="0ABC8BE8" w:rsidR="006B76B4" w:rsidRPr="00527600" w:rsidRDefault="00527600" w:rsidP="006B76B4">
      <w:pPr>
        <w:rPr>
          <w:rFonts w:ascii="Cambria Math" w:hAnsi="Cambria Math"/>
          <w:oMath/>
        </w:rPr>
      </w:pPr>
      <m:oMathPara>
        <m:oMathParaPr>
          <m:jc m:val="left"/>
        </m:oMathParaPr>
        <m:oMath>
          <m:r>
            <w:rPr>
              <w:rFonts w:ascii="Cambria Math" w:hAnsi="Cambria Math"/>
            </w:rPr>
            <m:t>Polycarbonate, reinforced.</m:t>
          </m:r>
        </m:oMath>
      </m:oMathPara>
    </w:p>
    <w:p w14:paraId="25E6AFE8" w14:textId="5A645D0C"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6</m:t>
          </m:r>
        </m:oMath>
      </m:oMathPara>
    </w:p>
    <w:p w14:paraId="1DF717CC" w14:textId="126F32F5" w:rsidR="006B76B4" w:rsidRPr="00527600" w:rsidRDefault="00527600" w:rsidP="006B76B4">
      <w:pPr>
        <w:rPr>
          <w:rFonts w:ascii="Cambria Math" w:hAnsi="Cambria Math"/>
          <w:oMath/>
        </w:rPr>
      </w:pPr>
      <m:oMathPara>
        <m:oMathParaPr>
          <m:jc m:val="left"/>
        </m:oMathParaPr>
        <m:oMath>
          <m:r>
            <w:rPr>
              <w:rFonts w:ascii="Cambria Math" w:hAnsi="Cambria Math"/>
            </w:rPr>
            <m:t>Aluminum</m:t>
          </m:r>
        </m:oMath>
      </m:oMathPara>
    </w:p>
    <w:p w14:paraId="2B58AFA6" w14:textId="33F82279"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62</m:t>
          </m:r>
        </m:oMath>
      </m:oMathPara>
    </w:p>
    <w:p w14:paraId="0457322C" w14:textId="6AB54F20" w:rsidR="006B76B4" w:rsidRPr="00527600" w:rsidRDefault="00527600" w:rsidP="006B76B4">
      <w:pPr>
        <w:rPr>
          <w:rFonts w:ascii="Cambria Math" w:hAnsi="Cambria Math"/>
          <w:oMath/>
        </w:rPr>
      </w:pPr>
      <m:oMathPara>
        <m:oMathParaPr>
          <m:jc m:val="left"/>
        </m:oMathParaPr>
        <m:oMath>
          <m:r>
            <w:rPr>
              <w:rFonts w:ascii="Cambria Math" w:hAnsi="Cambria Math"/>
            </w:rPr>
            <m:t>Steel, low alloy</m:t>
          </m:r>
        </m:oMath>
      </m:oMathPara>
    </w:p>
    <w:p w14:paraId="202C84AC" w14:textId="270C385D"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196</m:t>
          </m:r>
        </m:oMath>
      </m:oMathPara>
    </w:p>
    <w:p w14:paraId="4E54DC54" w14:textId="771EA21D" w:rsidR="006B76B4" w:rsidRPr="00B33FC3" w:rsidRDefault="006B76B4" w:rsidP="006B76B4">
      <w:pPr>
        <w:rPr>
          <w:rFonts w:eastAsiaTheme="minorEastAsia"/>
        </w:rPr>
      </w:pPr>
      <m:oMathPara>
        <m:oMath>
          <m:r>
            <w:rPr>
              <w:rFonts w:ascii="Cambria Math" w:hAnsi="Cambria Math"/>
            </w:rPr>
            <m:t>Moment of inertia,</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12</m:t>
              </m:r>
            </m:den>
          </m:f>
        </m:oMath>
      </m:oMathPara>
    </w:p>
    <w:p w14:paraId="28955011" w14:textId="6420C00D" w:rsidR="006B76B4" w:rsidRPr="00FD08B2" w:rsidRDefault="004544E2" w:rsidP="006B76B4">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50</m:t>
                  </m:r>
                  <m:r>
                    <w:rPr>
                      <w:rFonts w:ascii="Cambria Math" w:hAnsi="Cambria Math"/>
                    </w:rPr>
                    <m:t>m</m:t>
                  </m:r>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m</m:t>
                      </m:r>
                      <m:r>
                        <w:rPr>
                          <w:rFonts w:ascii="Cambria Math" w:hAnsi="Cambria Math"/>
                        </w:rPr>
                        <m:t>m</m:t>
                      </m:r>
                    </m:e>
                  </m:d>
                </m:e>
                <m:sup>
                  <m:r>
                    <w:rPr>
                      <w:rFonts w:ascii="Cambria Math" w:hAnsi="Cambria Math"/>
                    </w:rPr>
                    <m:t>3</m:t>
                  </m:r>
                </m:sup>
              </m:sSup>
            </m:num>
            <m:den>
              <m:r>
                <w:rPr>
                  <w:rFonts w:ascii="Cambria Math" w:hAnsi="Cambria Math"/>
                </w:rPr>
                <m:t>12</m:t>
              </m:r>
            </m:den>
          </m:f>
          <m:r>
            <w:rPr>
              <w:rFonts w:ascii="Cambria Math" w:hAnsi="Cambria Math"/>
            </w:rPr>
            <m:t xml:space="preserve">= </m:t>
          </m:r>
          <m:r>
            <w:rPr>
              <w:rFonts w:ascii="Cambria Math" w:hAnsi="Cambria Math"/>
            </w:rPr>
            <m:t>4.1</m:t>
          </m:r>
          <m:r>
            <w:rPr>
              <w:rFonts w:ascii="Cambria Math" w:hAnsi="Cambria Math"/>
            </w:rPr>
            <m:t>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r>
                <w:rPr>
                  <w:rFonts w:ascii="Cambria Math" w:hAnsi="Cambria Math"/>
                </w:rPr>
                <m:t>m</m:t>
              </m:r>
            </m:e>
            <m:sup>
              <m:r>
                <w:rPr>
                  <w:rFonts w:ascii="Cambria Math" w:hAnsi="Cambria Math"/>
                </w:rPr>
                <m:t>4</m:t>
              </m:r>
            </m:sup>
          </m:sSup>
        </m:oMath>
      </m:oMathPara>
    </w:p>
    <w:p w14:paraId="7D54698E" w14:textId="61417AB9" w:rsidR="00D16988" w:rsidRPr="004E3B5E" w:rsidRDefault="004D7051" w:rsidP="00B93624">
      <w:pPr>
        <w:rPr>
          <w:rFonts w:eastAsiaTheme="minorEastAsia"/>
        </w:rPr>
      </w:pPr>
      <m:oMathPara>
        <m:oMath>
          <m:r>
            <w:rPr>
              <w:rFonts w:ascii="Cambria Math" w:hAnsi="Cambria Math"/>
            </w:rPr>
            <m:t xml:space="preserve">Max deflection, </m:t>
          </m:r>
          <m:sSub>
            <m:sSubPr>
              <m:ctrlPr>
                <w:rPr>
                  <w:rFonts w:ascii="Cambria Math" w:hAnsi="Cambria Math"/>
                  <w:i/>
                </w:rPr>
              </m:ctrlPr>
            </m:sSubPr>
            <m:e>
              <m:r>
                <w:rPr>
                  <w:rFonts w:ascii="Cambria Math" w:hAnsi="Cambria Math"/>
                </w:rPr>
                <m:t>δ</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r>
            <w:rPr>
              <w:rFonts w:ascii="Cambria Math" w:hAnsi="Cambria Math"/>
            </w:rPr>
            <m:t xml:space="preserve"> </m:t>
          </m:r>
          <m:r>
            <w:rPr>
              <w:rFonts w:ascii="Cambria Math" w:hAnsi="Cambria Math"/>
            </w:rPr>
            <m:t xml:space="preserve"> </m:t>
          </m:r>
        </m:oMath>
      </m:oMathPara>
    </w:p>
    <w:p w14:paraId="3FAFFF3D" w14:textId="068147E0" w:rsidR="004E3B5E" w:rsidRPr="00F7600A" w:rsidRDefault="006F7131" w:rsidP="00B93624">
      <w:pPr>
        <w:rPr>
          <w:rFonts w:eastAsiaTheme="minorEastAsia"/>
        </w:rPr>
      </w:pPr>
      <m:oMathPara>
        <m:oMath>
          <m:r>
            <w:rPr>
              <w:rFonts w:ascii="Cambria Math" w:hAnsi="Cambria Math"/>
            </w:rPr>
            <m:t>1 GPa</m:t>
          </m:r>
          <m:r>
            <w:rPr>
              <w:rFonts w:ascii="Cambria Math" w:hAnsi="Cambria Math"/>
            </w:rPr>
            <m:t>=</m:t>
          </m:r>
          <m:r>
            <w:rPr>
              <w:rFonts w:ascii="Cambria Math" w:hAnsi="Cambria Math"/>
            </w:rPr>
            <m:t>1000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m:t>
          </m:r>
          <m:r>
            <w:rPr>
              <w:rFonts w:ascii="Cambria Math" w:hAnsi="Cambria Math"/>
            </w:rPr>
            <m:t xml:space="preserve"> </m:t>
          </m:r>
        </m:oMath>
      </m:oMathPara>
    </w:p>
    <w:p w14:paraId="2DFA7DA3" w14:textId="7C3B7893" w:rsidR="00F7600A" w:rsidRDefault="00607CEC" w:rsidP="00F7600A">
      <m:oMathPara>
        <m:oMath>
          <m:sSub>
            <m:sSubPr>
              <m:ctrlPr>
                <w:rPr>
                  <w:rFonts w:ascii="Cambria Math" w:hAnsi="Cambria Math"/>
                  <w:i/>
                </w:rPr>
              </m:ctrlPr>
            </m:sSubPr>
            <m:e>
              <m:r>
                <w:rPr>
                  <w:rFonts w:ascii="Cambria Math" w:hAnsi="Cambria Math"/>
                </w:rPr>
                <m:t>δ</m:t>
              </m:r>
            </m:e>
            <m:sub>
              <m:r>
                <w:rPr>
                  <w:rFonts w:ascii="Cambria Math" w:hAnsi="Cambria Math"/>
                </w:rPr>
                <m:t>max</m:t>
              </m:r>
            </m:sub>
          </m:sSub>
          <m:d>
            <m:dPr>
              <m:ctrlPr>
                <w:rPr>
                  <w:rFonts w:ascii="Cambria Math" w:hAnsi="Cambria Math"/>
                  <w:i/>
                </w:rPr>
              </m:ctrlPr>
            </m:dPr>
            <m:e>
              <m:r>
                <w:rPr>
                  <w:rFonts w:ascii="Cambria Math" w:hAnsi="Cambria Math"/>
                </w:rPr>
                <m:t>for steel</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100N</m:t>
                  </m:r>
                </m:e>
              </m:d>
              <m:sSup>
                <m:sSupPr>
                  <m:ctrlPr>
                    <w:rPr>
                      <w:rFonts w:ascii="Cambria Math" w:hAnsi="Cambria Math"/>
                      <w:i/>
                    </w:rPr>
                  </m:ctrlPr>
                </m:sSupPr>
                <m:e>
                  <m:d>
                    <m:dPr>
                      <m:ctrlPr>
                        <w:rPr>
                          <w:rFonts w:ascii="Cambria Math" w:hAnsi="Cambria Math"/>
                          <w:i/>
                        </w:rPr>
                      </m:ctrlPr>
                    </m:dPr>
                    <m:e>
                      <m:r>
                        <w:rPr>
                          <w:rFonts w:ascii="Cambria Math" w:hAnsi="Cambria Math"/>
                        </w:rPr>
                        <m:t>1000mm</m:t>
                      </m:r>
                    </m:e>
                  </m:d>
                </m:e>
                <m:sup>
                  <m:r>
                    <w:rPr>
                      <w:rFonts w:ascii="Cambria Math" w:hAnsi="Cambria Math"/>
                    </w:rPr>
                    <m:t>3</m:t>
                  </m:r>
                </m:sup>
              </m:sSup>
            </m:num>
            <m:den>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196*1000*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4.1</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r>
                        <w:rPr>
                          <w:rFonts w:ascii="Cambria Math" w:hAnsi="Cambria Math"/>
                        </w:rPr>
                        <m:t>m</m:t>
                      </m:r>
                    </m:e>
                    <m:sup>
                      <m:r>
                        <w:rPr>
                          <w:rFonts w:ascii="Cambria Math" w:hAnsi="Cambria Math"/>
                        </w:rPr>
                        <m:t>4</m:t>
                      </m:r>
                    </m:sup>
                  </m:sSup>
                </m:e>
              </m:d>
            </m:den>
          </m:f>
          <m:r>
            <w:rPr>
              <w:rFonts w:ascii="Cambria Math" w:hAnsi="Cambria Math"/>
            </w:rPr>
            <m:t>=</m:t>
          </m:r>
          <m:r>
            <w:rPr>
              <w:rFonts w:ascii="Cambria Math" w:hAnsi="Cambria Math"/>
            </w:rPr>
            <m:t>0.04 mm</m:t>
          </m:r>
          <m:r>
            <w:rPr>
              <w:rFonts w:ascii="Cambria Math" w:hAnsi="Cambria Math"/>
            </w:rPr>
            <m:t xml:space="preserve"> </m:t>
          </m:r>
          <m:r>
            <w:rPr>
              <w:rFonts w:ascii="Cambria Math" w:hAnsi="Cambria Math"/>
            </w:rPr>
            <m:t xml:space="preserve"> </m:t>
          </m:r>
        </m:oMath>
      </m:oMathPara>
    </w:p>
    <w:p w14:paraId="63834A59" w14:textId="77777777" w:rsidR="00527600" w:rsidRDefault="00527600" w:rsidP="00B54BFC">
      <w:pPr>
        <w:autoSpaceDE w:val="0"/>
        <w:autoSpaceDN w:val="0"/>
        <w:adjustRightInd w:val="0"/>
        <w:spacing w:after="0" w:line="240" w:lineRule="auto"/>
        <w:rPr>
          <w:rFonts w:ascii="Lucida Console" w:hAnsi="Lucida Console" w:cs="Lucida Console"/>
          <w:kern w:val="0"/>
          <w:sz w:val="18"/>
          <w:szCs w:val="18"/>
        </w:rPr>
      </w:pPr>
    </w:p>
    <w:p w14:paraId="1E06214B" w14:textId="77777777" w:rsidR="00527600" w:rsidRDefault="00527600" w:rsidP="00B54BFC">
      <w:pPr>
        <w:autoSpaceDE w:val="0"/>
        <w:autoSpaceDN w:val="0"/>
        <w:adjustRightInd w:val="0"/>
        <w:spacing w:after="0" w:line="240" w:lineRule="auto"/>
        <w:rPr>
          <w:rFonts w:ascii="Lucida Console" w:hAnsi="Lucida Console" w:cs="Lucida Console"/>
          <w:kern w:val="0"/>
          <w:sz w:val="18"/>
          <w:szCs w:val="18"/>
        </w:rPr>
      </w:pPr>
    </w:p>
    <w:p w14:paraId="26DFEBC2"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77644AF0"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Material                  |   Modulus of Elasticity (</w:t>
      </w:r>
      <w:proofErr w:type="spellStart"/>
      <w:r>
        <w:rPr>
          <w:rFonts w:ascii="Lucida Console" w:hAnsi="Lucida Console" w:cs="Lucida Console"/>
          <w:kern w:val="0"/>
          <w:sz w:val="18"/>
          <w:szCs w:val="18"/>
        </w:rPr>
        <w:t>GPa</w:t>
      </w:r>
      <w:proofErr w:type="spellEnd"/>
      <w:r>
        <w:rPr>
          <w:rFonts w:ascii="Lucida Console" w:hAnsi="Lucida Console" w:cs="Lucida Console"/>
          <w:kern w:val="0"/>
          <w:sz w:val="18"/>
          <w:szCs w:val="18"/>
        </w:rPr>
        <w:t>) |   Max deflection (mm) |</w:t>
      </w:r>
    </w:p>
    <w:p w14:paraId="5D9BD4BE"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E3D6B18"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Acetal                    |                           3.5 |               2.28571 |</w:t>
      </w:r>
    </w:p>
    <w:p w14:paraId="55424B0A"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Acetal, reinforced        |                            10 |                   0.8 |</w:t>
      </w:r>
    </w:p>
    <w:p w14:paraId="6B4597DF"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Polycarbonate             |                             3 |               2.66667 |</w:t>
      </w:r>
    </w:p>
    <w:p w14:paraId="67E02CA9" w14:textId="3BBB9B74"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sidR="002D457C">
        <w:rPr>
          <w:rFonts w:ascii="Lucida Console" w:hAnsi="Lucida Console" w:cs="Lucida Console"/>
          <w:kern w:val="0"/>
          <w:sz w:val="18"/>
          <w:szCs w:val="18"/>
        </w:rPr>
        <w:t>Polycarbonate</w:t>
      </w:r>
      <w:r>
        <w:rPr>
          <w:rFonts w:ascii="Lucida Console" w:hAnsi="Lucida Console" w:cs="Lucida Console"/>
          <w:kern w:val="0"/>
          <w:sz w:val="18"/>
          <w:szCs w:val="18"/>
        </w:rPr>
        <w:t>, reinforced |                             6 |               1.33333 |</w:t>
      </w:r>
    </w:p>
    <w:p w14:paraId="1E1E49E8"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Aluminum                  |                            62 |              0.129032 |</w:t>
      </w:r>
    </w:p>
    <w:p w14:paraId="0B05FC16"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Steel                     |                           196 |                  0.04 |</w:t>
      </w:r>
    </w:p>
    <w:p w14:paraId="7FA4914F"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190E053" w14:textId="77777777" w:rsidR="00F7600A" w:rsidRDefault="00F7600A" w:rsidP="00B93624"/>
    <w:p w14:paraId="7371A960" w14:textId="36C4E373" w:rsidR="00E10786" w:rsidRDefault="00E10786" w:rsidP="00B93624">
      <w:r>
        <w:t xml:space="preserve">Observation: </w:t>
      </w:r>
      <w:r w:rsidR="00460381">
        <w:t xml:space="preserve">The </w:t>
      </w:r>
      <w:r w:rsidR="00BB358F">
        <w:t>ma</w:t>
      </w:r>
      <w:r w:rsidR="00024476">
        <w:t xml:space="preserve">ximum deflection decreases as the </w:t>
      </w:r>
      <w:r w:rsidR="003F5B96">
        <w:t xml:space="preserve">modulus of elasticity </w:t>
      </w:r>
      <w:r w:rsidR="00D207CD">
        <w:t>increases</w:t>
      </w:r>
    </w:p>
    <w:sectPr w:rsidR="00E107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915B" w14:textId="77777777" w:rsidR="0082666E" w:rsidRDefault="0082666E" w:rsidP="00854423">
      <w:pPr>
        <w:spacing w:after="0" w:line="240" w:lineRule="auto"/>
      </w:pPr>
      <w:r>
        <w:separator/>
      </w:r>
    </w:p>
  </w:endnote>
  <w:endnote w:type="continuationSeparator" w:id="0">
    <w:p w14:paraId="792403BF" w14:textId="77777777" w:rsidR="0082666E" w:rsidRDefault="0082666E" w:rsidP="00854423">
      <w:pPr>
        <w:spacing w:after="0" w:line="240" w:lineRule="auto"/>
      </w:pPr>
      <w:r>
        <w:continuationSeparator/>
      </w:r>
    </w:p>
  </w:endnote>
  <w:endnote w:type="continuationNotice" w:id="1">
    <w:p w14:paraId="19001DAB" w14:textId="77777777" w:rsidR="0082666E" w:rsidRDefault="008266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E349" w14:textId="77777777" w:rsidR="0082666E" w:rsidRDefault="0082666E" w:rsidP="00854423">
      <w:pPr>
        <w:spacing w:after="0" w:line="240" w:lineRule="auto"/>
      </w:pPr>
      <w:r>
        <w:separator/>
      </w:r>
    </w:p>
  </w:footnote>
  <w:footnote w:type="continuationSeparator" w:id="0">
    <w:p w14:paraId="6BDAB267" w14:textId="77777777" w:rsidR="0082666E" w:rsidRDefault="0082666E" w:rsidP="00854423">
      <w:pPr>
        <w:spacing w:after="0" w:line="240" w:lineRule="auto"/>
      </w:pPr>
      <w:r>
        <w:continuationSeparator/>
      </w:r>
    </w:p>
  </w:footnote>
  <w:footnote w:type="continuationNotice" w:id="1">
    <w:p w14:paraId="1AD9EB23" w14:textId="77777777" w:rsidR="0082666E" w:rsidRDefault="008266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4A2" w14:textId="77777777" w:rsidR="006B76B4" w:rsidRDefault="006B76B4" w:rsidP="006B76B4">
    <w:pPr>
      <w:rPr>
        <w:b/>
        <w:bCs/>
      </w:rPr>
    </w:pPr>
    <w:r>
      <w:rPr>
        <w:b/>
        <w:bCs/>
      </w:rPr>
      <w:t>Senami Hodonu</w:t>
    </w:r>
  </w:p>
  <w:p w14:paraId="057120A5" w14:textId="77777777" w:rsidR="006B76B4" w:rsidRPr="006B76B4" w:rsidRDefault="006B76B4" w:rsidP="006B76B4">
    <w:pPr>
      <w:rPr>
        <w:b/>
        <w:bCs/>
      </w:rPr>
    </w:pPr>
    <w:r>
      <w:rPr>
        <w:b/>
        <w:bCs/>
      </w:rPr>
      <w:t>HW#16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1"/>
    <w:rsid w:val="000169A1"/>
    <w:rsid w:val="00024476"/>
    <w:rsid w:val="00031698"/>
    <w:rsid w:val="00041994"/>
    <w:rsid w:val="000526D5"/>
    <w:rsid w:val="00057CBB"/>
    <w:rsid w:val="00062BC3"/>
    <w:rsid w:val="000752F1"/>
    <w:rsid w:val="000D31EF"/>
    <w:rsid w:val="000E6C46"/>
    <w:rsid w:val="000F37F3"/>
    <w:rsid w:val="00104D6F"/>
    <w:rsid w:val="00117463"/>
    <w:rsid w:val="00130D80"/>
    <w:rsid w:val="00152CFA"/>
    <w:rsid w:val="00156155"/>
    <w:rsid w:val="0016695F"/>
    <w:rsid w:val="001C4A72"/>
    <w:rsid w:val="001E1D64"/>
    <w:rsid w:val="001E70E9"/>
    <w:rsid w:val="002218B9"/>
    <w:rsid w:val="00221EBA"/>
    <w:rsid w:val="00247484"/>
    <w:rsid w:val="002630E7"/>
    <w:rsid w:val="002937B6"/>
    <w:rsid w:val="002A3773"/>
    <w:rsid w:val="002C527B"/>
    <w:rsid w:val="002D44F7"/>
    <w:rsid w:val="002D457C"/>
    <w:rsid w:val="002D62C5"/>
    <w:rsid w:val="002E5AB0"/>
    <w:rsid w:val="00306EEC"/>
    <w:rsid w:val="00340644"/>
    <w:rsid w:val="0035153D"/>
    <w:rsid w:val="0036121B"/>
    <w:rsid w:val="003724EA"/>
    <w:rsid w:val="003B6515"/>
    <w:rsid w:val="003C65DE"/>
    <w:rsid w:val="003D2714"/>
    <w:rsid w:val="003E086D"/>
    <w:rsid w:val="003F2927"/>
    <w:rsid w:val="003F53FE"/>
    <w:rsid w:val="003F5B96"/>
    <w:rsid w:val="00425FF6"/>
    <w:rsid w:val="004544E2"/>
    <w:rsid w:val="00460381"/>
    <w:rsid w:val="0049077D"/>
    <w:rsid w:val="004916FA"/>
    <w:rsid w:val="004B5E75"/>
    <w:rsid w:val="004D7051"/>
    <w:rsid w:val="004E3B5E"/>
    <w:rsid w:val="004E4F90"/>
    <w:rsid w:val="004F54F1"/>
    <w:rsid w:val="005068B9"/>
    <w:rsid w:val="00507F9C"/>
    <w:rsid w:val="00527600"/>
    <w:rsid w:val="00531EFD"/>
    <w:rsid w:val="00537B82"/>
    <w:rsid w:val="0054542D"/>
    <w:rsid w:val="0055218B"/>
    <w:rsid w:val="0056564B"/>
    <w:rsid w:val="00590B4A"/>
    <w:rsid w:val="005A1AB1"/>
    <w:rsid w:val="005A4078"/>
    <w:rsid w:val="005C3785"/>
    <w:rsid w:val="005F2C47"/>
    <w:rsid w:val="005F619F"/>
    <w:rsid w:val="00601285"/>
    <w:rsid w:val="00607CEC"/>
    <w:rsid w:val="00612B88"/>
    <w:rsid w:val="00623C2B"/>
    <w:rsid w:val="00672513"/>
    <w:rsid w:val="00672911"/>
    <w:rsid w:val="00695C7A"/>
    <w:rsid w:val="006A6456"/>
    <w:rsid w:val="006B04FF"/>
    <w:rsid w:val="006B76B4"/>
    <w:rsid w:val="006C2599"/>
    <w:rsid w:val="006C2ADA"/>
    <w:rsid w:val="006C4D1C"/>
    <w:rsid w:val="006E171E"/>
    <w:rsid w:val="006F54D9"/>
    <w:rsid w:val="006F70C6"/>
    <w:rsid w:val="006F7131"/>
    <w:rsid w:val="00736D39"/>
    <w:rsid w:val="00752434"/>
    <w:rsid w:val="00755211"/>
    <w:rsid w:val="00755E12"/>
    <w:rsid w:val="007F5781"/>
    <w:rsid w:val="0082666E"/>
    <w:rsid w:val="00845B7E"/>
    <w:rsid w:val="00854423"/>
    <w:rsid w:val="00873BF9"/>
    <w:rsid w:val="008C7B4B"/>
    <w:rsid w:val="008D3AD9"/>
    <w:rsid w:val="008E4873"/>
    <w:rsid w:val="008E4D5B"/>
    <w:rsid w:val="009108F7"/>
    <w:rsid w:val="00997FEA"/>
    <w:rsid w:val="009B6353"/>
    <w:rsid w:val="00A44925"/>
    <w:rsid w:val="00A6294D"/>
    <w:rsid w:val="00A76328"/>
    <w:rsid w:val="00AE1864"/>
    <w:rsid w:val="00B27A2C"/>
    <w:rsid w:val="00B33FC3"/>
    <w:rsid w:val="00B35E32"/>
    <w:rsid w:val="00B44550"/>
    <w:rsid w:val="00B54BFC"/>
    <w:rsid w:val="00B80B95"/>
    <w:rsid w:val="00B9184C"/>
    <w:rsid w:val="00B91F04"/>
    <w:rsid w:val="00B93624"/>
    <w:rsid w:val="00BA3A31"/>
    <w:rsid w:val="00BA6C1C"/>
    <w:rsid w:val="00BB358F"/>
    <w:rsid w:val="00BC3F76"/>
    <w:rsid w:val="00BC5323"/>
    <w:rsid w:val="00BC7E6F"/>
    <w:rsid w:val="00C319B9"/>
    <w:rsid w:val="00CA17C7"/>
    <w:rsid w:val="00D16988"/>
    <w:rsid w:val="00D207CD"/>
    <w:rsid w:val="00D7607F"/>
    <w:rsid w:val="00DC76AA"/>
    <w:rsid w:val="00DE7D0D"/>
    <w:rsid w:val="00DF59C1"/>
    <w:rsid w:val="00E10786"/>
    <w:rsid w:val="00E25FE4"/>
    <w:rsid w:val="00E50BA4"/>
    <w:rsid w:val="00E51033"/>
    <w:rsid w:val="00E55828"/>
    <w:rsid w:val="00E741E3"/>
    <w:rsid w:val="00F101BA"/>
    <w:rsid w:val="00F370EA"/>
    <w:rsid w:val="00F7600A"/>
    <w:rsid w:val="00F922BC"/>
    <w:rsid w:val="00FB36E2"/>
    <w:rsid w:val="00FC1158"/>
    <w:rsid w:val="00FC2F2F"/>
    <w:rsid w:val="00FD08B2"/>
    <w:rsid w:val="00FF20D9"/>
    <w:rsid w:val="00FF54C5"/>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C21B"/>
  <w15:chartTrackingRefBased/>
  <w15:docId w15:val="{0565E892-B17B-4DE9-B20F-3FD74107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423"/>
    <w:rPr>
      <w:color w:val="808080"/>
    </w:rPr>
  </w:style>
  <w:style w:type="paragraph" w:styleId="Header">
    <w:name w:val="header"/>
    <w:basedOn w:val="Normal"/>
    <w:link w:val="HeaderChar"/>
    <w:uiPriority w:val="99"/>
    <w:unhideWhenUsed/>
    <w:rsid w:val="00854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423"/>
  </w:style>
  <w:style w:type="paragraph" w:styleId="Footer">
    <w:name w:val="footer"/>
    <w:basedOn w:val="Normal"/>
    <w:link w:val="FooterChar"/>
    <w:uiPriority w:val="99"/>
    <w:unhideWhenUsed/>
    <w:rsid w:val="00854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0307">
      <w:bodyDiv w:val="1"/>
      <w:marLeft w:val="0"/>
      <w:marRight w:val="0"/>
      <w:marTop w:val="0"/>
      <w:marBottom w:val="0"/>
      <w:divBdr>
        <w:top w:val="none" w:sz="0" w:space="0" w:color="auto"/>
        <w:left w:val="none" w:sz="0" w:space="0" w:color="auto"/>
        <w:bottom w:val="none" w:sz="0" w:space="0" w:color="auto"/>
        <w:right w:val="none" w:sz="0" w:space="0" w:color="auto"/>
      </w:divBdr>
      <w:divsChild>
        <w:div w:id="1366835446">
          <w:marLeft w:val="0"/>
          <w:marRight w:val="0"/>
          <w:marTop w:val="0"/>
          <w:marBottom w:val="0"/>
          <w:divBdr>
            <w:top w:val="none" w:sz="0" w:space="0" w:color="auto"/>
            <w:left w:val="none" w:sz="0" w:space="0" w:color="auto"/>
            <w:bottom w:val="none" w:sz="0" w:space="0" w:color="auto"/>
            <w:right w:val="none" w:sz="0" w:space="0" w:color="auto"/>
          </w:divBdr>
          <w:divsChild>
            <w:div w:id="1532306272">
              <w:marLeft w:val="0"/>
              <w:marRight w:val="0"/>
              <w:marTop w:val="0"/>
              <w:marBottom w:val="0"/>
              <w:divBdr>
                <w:top w:val="none" w:sz="0" w:space="0" w:color="auto"/>
                <w:left w:val="none" w:sz="0" w:space="0" w:color="auto"/>
                <w:bottom w:val="none" w:sz="0" w:space="0" w:color="auto"/>
                <w:right w:val="none" w:sz="0" w:space="0" w:color="auto"/>
              </w:divBdr>
            </w:div>
            <w:div w:id="1008093850">
              <w:marLeft w:val="0"/>
              <w:marRight w:val="0"/>
              <w:marTop w:val="0"/>
              <w:marBottom w:val="0"/>
              <w:divBdr>
                <w:top w:val="none" w:sz="0" w:space="0" w:color="auto"/>
                <w:left w:val="none" w:sz="0" w:space="0" w:color="auto"/>
                <w:bottom w:val="none" w:sz="0" w:space="0" w:color="auto"/>
                <w:right w:val="none" w:sz="0" w:space="0" w:color="auto"/>
              </w:divBdr>
            </w:div>
            <w:div w:id="480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324">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8">
          <w:marLeft w:val="0"/>
          <w:marRight w:val="0"/>
          <w:marTop w:val="0"/>
          <w:marBottom w:val="0"/>
          <w:divBdr>
            <w:top w:val="none" w:sz="0" w:space="0" w:color="auto"/>
            <w:left w:val="none" w:sz="0" w:space="0" w:color="auto"/>
            <w:bottom w:val="none" w:sz="0" w:space="0" w:color="auto"/>
            <w:right w:val="none" w:sz="0" w:space="0" w:color="auto"/>
          </w:divBdr>
          <w:divsChild>
            <w:div w:id="48386986">
              <w:marLeft w:val="0"/>
              <w:marRight w:val="0"/>
              <w:marTop w:val="0"/>
              <w:marBottom w:val="0"/>
              <w:divBdr>
                <w:top w:val="none" w:sz="0" w:space="0" w:color="auto"/>
                <w:left w:val="none" w:sz="0" w:space="0" w:color="auto"/>
                <w:bottom w:val="none" w:sz="0" w:space="0" w:color="auto"/>
                <w:right w:val="none" w:sz="0" w:space="0" w:color="auto"/>
              </w:divBdr>
            </w:div>
            <w:div w:id="81613417">
              <w:marLeft w:val="0"/>
              <w:marRight w:val="0"/>
              <w:marTop w:val="0"/>
              <w:marBottom w:val="0"/>
              <w:divBdr>
                <w:top w:val="none" w:sz="0" w:space="0" w:color="auto"/>
                <w:left w:val="none" w:sz="0" w:space="0" w:color="auto"/>
                <w:bottom w:val="none" w:sz="0" w:space="0" w:color="auto"/>
                <w:right w:val="none" w:sz="0" w:space="0" w:color="auto"/>
              </w:divBdr>
            </w:div>
            <w:div w:id="379138337">
              <w:marLeft w:val="0"/>
              <w:marRight w:val="0"/>
              <w:marTop w:val="0"/>
              <w:marBottom w:val="0"/>
              <w:divBdr>
                <w:top w:val="none" w:sz="0" w:space="0" w:color="auto"/>
                <w:left w:val="none" w:sz="0" w:space="0" w:color="auto"/>
                <w:bottom w:val="none" w:sz="0" w:space="0" w:color="auto"/>
                <w:right w:val="none" w:sz="0" w:space="0" w:color="auto"/>
              </w:divBdr>
            </w:div>
            <w:div w:id="859903118">
              <w:marLeft w:val="0"/>
              <w:marRight w:val="0"/>
              <w:marTop w:val="0"/>
              <w:marBottom w:val="0"/>
              <w:divBdr>
                <w:top w:val="none" w:sz="0" w:space="0" w:color="auto"/>
                <w:left w:val="none" w:sz="0" w:space="0" w:color="auto"/>
                <w:bottom w:val="none" w:sz="0" w:space="0" w:color="auto"/>
                <w:right w:val="none" w:sz="0" w:space="0" w:color="auto"/>
              </w:divBdr>
            </w:div>
            <w:div w:id="868907820">
              <w:marLeft w:val="0"/>
              <w:marRight w:val="0"/>
              <w:marTop w:val="0"/>
              <w:marBottom w:val="0"/>
              <w:divBdr>
                <w:top w:val="none" w:sz="0" w:space="0" w:color="auto"/>
                <w:left w:val="none" w:sz="0" w:space="0" w:color="auto"/>
                <w:bottom w:val="none" w:sz="0" w:space="0" w:color="auto"/>
                <w:right w:val="none" w:sz="0" w:space="0" w:color="auto"/>
              </w:divBdr>
            </w:div>
            <w:div w:id="1518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341">
      <w:bodyDiv w:val="1"/>
      <w:marLeft w:val="0"/>
      <w:marRight w:val="0"/>
      <w:marTop w:val="0"/>
      <w:marBottom w:val="0"/>
      <w:divBdr>
        <w:top w:val="none" w:sz="0" w:space="0" w:color="auto"/>
        <w:left w:val="none" w:sz="0" w:space="0" w:color="auto"/>
        <w:bottom w:val="none" w:sz="0" w:space="0" w:color="auto"/>
        <w:right w:val="none" w:sz="0" w:space="0" w:color="auto"/>
      </w:divBdr>
      <w:divsChild>
        <w:div w:id="899439520">
          <w:marLeft w:val="0"/>
          <w:marRight w:val="0"/>
          <w:marTop w:val="0"/>
          <w:marBottom w:val="0"/>
          <w:divBdr>
            <w:top w:val="none" w:sz="0" w:space="0" w:color="auto"/>
            <w:left w:val="none" w:sz="0" w:space="0" w:color="auto"/>
            <w:bottom w:val="none" w:sz="0" w:space="0" w:color="auto"/>
            <w:right w:val="none" w:sz="0" w:space="0" w:color="auto"/>
          </w:divBdr>
          <w:divsChild>
            <w:div w:id="2084064243">
              <w:marLeft w:val="0"/>
              <w:marRight w:val="0"/>
              <w:marTop w:val="0"/>
              <w:marBottom w:val="0"/>
              <w:divBdr>
                <w:top w:val="none" w:sz="0" w:space="0" w:color="auto"/>
                <w:left w:val="none" w:sz="0" w:space="0" w:color="auto"/>
                <w:bottom w:val="none" w:sz="0" w:space="0" w:color="auto"/>
                <w:right w:val="none" w:sz="0" w:space="0" w:color="auto"/>
              </w:divBdr>
            </w:div>
            <w:div w:id="1341926170">
              <w:marLeft w:val="0"/>
              <w:marRight w:val="0"/>
              <w:marTop w:val="0"/>
              <w:marBottom w:val="0"/>
              <w:divBdr>
                <w:top w:val="none" w:sz="0" w:space="0" w:color="auto"/>
                <w:left w:val="none" w:sz="0" w:space="0" w:color="auto"/>
                <w:bottom w:val="none" w:sz="0" w:space="0" w:color="auto"/>
                <w:right w:val="none" w:sz="0" w:space="0" w:color="auto"/>
              </w:divBdr>
            </w:div>
            <w:div w:id="268047540">
              <w:marLeft w:val="0"/>
              <w:marRight w:val="0"/>
              <w:marTop w:val="0"/>
              <w:marBottom w:val="0"/>
              <w:divBdr>
                <w:top w:val="none" w:sz="0" w:space="0" w:color="auto"/>
                <w:left w:val="none" w:sz="0" w:space="0" w:color="auto"/>
                <w:bottom w:val="none" w:sz="0" w:space="0" w:color="auto"/>
                <w:right w:val="none" w:sz="0" w:space="0" w:color="auto"/>
              </w:divBdr>
            </w:div>
            <w:div w:id="1181312363">
              <w:marLeft w:val="0"/>
              <w:marRight w:val="0"/>
              <w:marTop w:val="0"/>
              <w:marBottom w:val="0"/>
              <w:divBdr>
                <w:top w:val="none" w:sz="0" w:space="0" w:color="auto"/>
                <w:left w:val="none" w:sz="0" w:space="0" w:color="auto"/>
                <w:bottom w:val="none" w:sz="0" w:space="0" w:color="auto"/>
                <w:right w:val="none" w:sz="0" w:space="0" w:color="auto"/>
              </w:divBdr>
            </w:div>
            <w:div w:id="1654791648">
              <w:marLeft w:val="0"/>
              <w:marRight w:val="0"/>
              <w:marTop w:val="0"/>
              <w:marBottom w:val="0"/>
              <w:divBdr>
                <w:top w:val="none" w:sz="0" w:space="0" w:color="auto"/>
                <w:left w:val="none" w:sz="0" w:space="0" w:color="auto"/>
                <w:bottom w:val="none" w:sz="0" w:space="0" w:color="auto"/>
                <w:right w:val="none" w:sz="0" w:space="0" w:color="auto"/>
              </w:divBdr>
            </w:div>
            <w:div w:id="633023827">
              <w:marLeft w:val="0"/>
              <w:marRight w:val="0"/>
              <w:marTop w:val="0"/>
              <w:marBottom w:val="0"/>
              <w:divBdr>
                <w:top w:val="none" w:sz="0" w:space="0" w:color="auto"/>
                <w:left w:val="none" w:sz="0" w:space="0" w:color="auto"/>
                <w:bottom w:val="none" w:sz="0" w:space="0" w:color="auto"/>
                <w:right w:val="none" w:sz="0" w:space="0" w:color="auto"/>
              </w:divBdr>
            </w:div>
            <w:div w:id="1637299923">
              <w:marLeft w:val="0"/>
              <w:marRight w:val="0"/>
              <w:marTop w:val="0"/>
              <w:marBottom w:val="0"/>
              <w:divBdr>
                <w:top w:val="none" w:sz="0" w:space="0" w:color="auto"/>
                <w:left w:val="none" w:sz="0" w:space="0" w:color="auto"/>
                <w:bottom w:val="none" w:sz="0" w:space="0" w:color="auto"/>
                <w:right w:val="none" w:sz="0" w:space="0" w:color="auto"/>
              </w:divBdr>
            </w:div>
            <w:div w:id="1322079519">
              <w:marLeft w:val="0"/>
              <w:marRight w:val="0"/>
              <w:marTop w:val="0"/>
              <w:marBottom w:val="0"/>
              <w:divBdr>
                <w:top w:val="none" w:sz="0" w:space="0" w:color="auto"/>
                <w:left w:val="none" w:sz="0" w:space="0" w:color="auto"/>
                <w:bottom w:val="none" w:sz="0" w:space="0" w:color="auto"/>
                <w:right w:val="none" w:sz="0" w:space="0" w:color="auto"/>
              </w:divBdr>
            </w:div>
            <w:div w:id="684138066">
              <w:marLeft w:val="0"/>
              <w:marRight w:val="0"/>
              <w:marTop w:val="0"/>
              <w:marBottom w:val="0"/>
              <w:divBdr>
                <w:top w:val="none" w:sz="0" w:space="0" w:color="auto"/>
                <w:left w:val="none" w:sz="0" w:space="0" w:color="auto"/>
                <w:bottom w:val="none" w:sz="0" w:space="0" w:color="auto"/>
                <w:right w:val="none" w:sz="0" w:space="0" w:color="auto"/>
              </w:divBdr>
            </w:div>
            <w:div w:id="1347096739">
              <w:marLeft w:val="0"/>
              <w:marRight w:val="0"/>
              <w:marTop w:val="0"/>
              <w:marBottom w:val="0"/>
              <w:divBdr>
                <w:top w:val="none" w:sz="0" w:space="0" w:color="auto"/>
                <w:left w:val="none" w:sz="0" w:space="0" w:color="auto"/>
                <w:bottom w:val="none" w:sz="0" w:space="0" w:color="auto"/>
                <w:right w:val="none" w:sz="0" w:space="0" w:color="auto"/>
              </w:divBdr>
            </w:div>
            <w:div w:id="1357610455">
              <w:marLeft w:val="0"/>
              <w:marRight w:val="0"/>
              <w:marTop w:val="0"/>
              <w:marBottom w:val="0"/>
              <w:divBdr>
                <w:top w:val="none" w:sz="0" w:space="0" w:color="auto"/>
                <w:left w:val="none" w:sz="0" w:space="0" w:color="auto"/>
                <w:bottom w:val="none" w:sz="0" w:space="0" w:color="auto"/>
                <w:right w:val="none" w:sz="0" w:space="0" w:color="auto"/>
              </w:divBdr>
            </w:div>
            <w:div w:id="1154955879">
              <w:marLeft w:val="0"/>
              <w:marRight w:val="0"/>
              <w:marTop w:val="0"/>
              <w:marBottom w:val="0"/>
              <w:divBdr>
                <w:top w:val="none" w:sz="0" w:space="0" w:color="auto"/>
                <w:left w:val="none" w:sz="0" w:space="0" w:color="auto"/>
                <w:bottom w:val="none" w:sz="0" w:space="0" w:color="auto"/>
                <w:right w:val="none" w:sz="0" w:space="0" w:color="auto"/>
              </w:divBdr>
            </w:div>
            <w:div w:id="747849459">
              <w:marLeft w:val="0"/>
              <w:marRight w:val="0"/>
              <w:marTop w:val="0"/>
              <w:marBottom w:val="0"/>
              <w:divBdr>
                <w:top w:val="none" w:sz="0" w:space="0" w:color="auto"/>
                <w:left w:val="none" w:sz="0" w:space="0" w:color="auto"/>
                <w:bottom w:val="none" w:sz="0" w:space="0" w:color="auto"/>
                <w:right w:val="none" w:sz="0" w:space="0" w:color="auto"/>
              </w:divBdr>
            </w:div>
            <w:div w:id="17013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617">
      <w:bodyDiv w:val="1"/>
      <w:marLeft w:val="0"/>
      <w:marRight w:val="0"/>
      <w:marTop w:val="0"/>
      <w:marBottom w:val="0"/>
      <w:divBdr>
        <w:top w:val="none" w:sz="0" w:space="0" w:color="auto"/>
        <w:left w:val="none" w:sz="0" w:space="0" w:color="auto"/>
        <w:bottom w:val="none" w:sz="0" w:space="0" w:color="auto"/>
        <w:right w:val="none" w:sz="0" w:space="0" w:color="auto"/>
      </w:divBdr>
      <w:divsChild>
        <w:div w:id="1751149701">
          <w:marLeft w:val="0"/>
          <w:marRight w:val="0"/>
          <w:marTop w:val="0"/>
          <w:marBottom w:val="0"/>
          <w:divBdr>
            <w:top w:val="none" w:sz="0" w:space="0" w:color="auto"/>
            <w:left w:val="none" w:sz="0" w:space="0" w:color="auto"/>
            <w:bottom w:val="none" w:sz="0" w:space="0" w:color="auto"/>
            <w:right w:val="none" w:sz="0" w:space="0" w:color="auto"/>
          </w:divBdr>
          <w:divsChild>
            <w:div w:id="3771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338">
      <w:bodyDiv w:val="1"/>
      <w:marLeft w:val="0"/>
      <w:marRight w:val="0"/>
      <w:marTop w:val="0"/>
      <w:marBottom w:val="0"/>
      <w:divBdr>
        <w:top w:val="none" w:sz="0" w:space="0" w:color="auto"/>
        <w:left w:val="none" w:sz="0" w:space="0" w:color="auto"/>
        <w:bottom w:val="none" w:sz="0" w:space="0" w:color="auto"/>
        <w:right w:val="none" w:sz="0" w:space="0" w:color="auto"/>
      </w:divBdr>
      <w:divsChild>
        <w:div w:id="1112240875">
          <w:marLeft w:val="0"/>
          <w:marRight w:val="0"/>
          <w:marTop w:val="0"/>
          <w:marBottom w:val="0"/>
          <w:divBdr>
            <w:top w:val="none" w:sz="0" w:space="0" w:color="auto"/>
            <w:left w:val="none" w:sz="0" w:space="0" w:color="auto"/>
            <w:bottom w:val="none" w:sz="0" w:space="0" w:color="auto"/>
            <w:right w:val="none" w:sz="0" w:space="0" w:color="auto"/>
          </w:divBdr>
          <w:divsChild>
            <w:div w:id="619343273">
              <w:marLeft w:val="0"/>
              <w:marRight w:val="0"/>
              <w:marTop w:val="0"/>
              <w:marBottom w:val="0"/>
              <w:divBdr>
                <w:top w:val="none" w:sz="0" w:space="0" w:color="auto"/>
                <w:left w:val="none" w:sz="0" w:space="0" w:color="auto"/>
                <w:bottom w:val="none" w:sz="0" w:space="0" w:color="auto"/>
                <w:right w:val="none" w:sz="0" w:space="0" w:color="auto"/>
              </w:divBdr>
            </w:div>
            <w:div w:id="321587556">
              <w:marLeft w:val="0"/>
              <w:marRight w:val="0"/>
              <w:marTop w:val="0"/>
              <w:marBottom w:val="0"/>
              <w:divBdr>
                <w:top w:val="none" w:sz="0" w:space="0" w:color="auto"/>
                <w:left w:val="none" w:sz="0" w:space="0" w:color="auto"/>
                <w:bottom w:val="none" w:sz="0" w:space="0" w:color="auto"/>
                <w:right w:val="none" w:sz="0" w:space="0" w:color="auto"/>
              </w:divBdr>
            </w:div>
            <w:div w:id="1098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964">
      <w:bodyDiv w:val="1"/>
      <w:marLeft w:val="0"/>
      <w:marRight w:val="0"/>
      <w:marTop w:val="0"/>
      <w:marBottom w:val="0"/>
      <w:divBdr>
        <w:top w:val="none" w:sz="0" w:space="0" w:color="auto"/>
        <w:left w:val="none" w:sz="0" w:space="0" w:color="auto"/>
        <w:bottom w:val="none" w:sz="0" w:space="0" w:color="auto"/>
        <w:right w:val="none" w:sz="0" w:space="0" w:color="auto"/>
      </w:divBdr>
      <w:divsChild>
        <w:div w:id="715662590">
          <w:marLeft w:val="0"/>
          <w:marRight w:val="0"/>
          <w:marTop w:val="0"/>
          <w:marBottom w:val="0"/>
          <w:divBdr>
            <w:top w:val="none" w:sz="0" w:space="0" w:color="auto"/>
            <w:left w:val="none" w:sz="0" w:space="0" w:color="auto"/>
            <w:bottom w:val="none" w:sz="0" w:space="0" w:color="auto"/>
            <w:right w:val="none" w:sz="0" w:space="0" w:color="auto"/>
          </w:divBdr>
          <w:divsChild>
            <w:div w:id="2074889402">
              <w:marLeft w:val="0"/>
              <w:marRight w:val="0"/>
              <w:marTop w:val="0"/>
              <w:marBottom w:val="0"/>
              <w:divBdr>
                <w:top w:val="none" w:sz="0" w:space="0" w:color="auto"/>
                <w:left w:val="none" w:sz="0" w:space="0" w:color="auto"/>
                <w:bottom w:val="none" w:sz="0" w:space="0" w:color="auto"/>
                <w:right w:val="none" w:sz="0" w:space="0" w:color="auto"/>
              </w:divBdr>
            </w:div>
            <w:div w:id="463086950">
              <w:marLeft w:val="0"/>
              <w:marRight w:val="0"/>
              <w:marTop w:val="0"/>
              <w:marBottom w:val="0"/>
              <w:divBdr>
                <w:top w:val="none" w:sz="0" w:space="0" w:color="auto"/>
                <w:left w:val="none" w:sz="0" w:space="0" w:color="auto"/>
                <w:bottom w:val="none" w:sz="0" w:space="0" w:color="auto"/>
                <w:right w:val="none" w:sz="0" w:space="0" w:color="auto"/>
              </w:divBdr>
            </w:div>
            <w:div w:id="1553997640">
              <w:marLeft w:val="0"/>
              <w:marRight w:val="0"/>
              <w:marTop w:val="0"/>
              <w:marBottom w:val="0"/>
              <w:divBdr>
                <w:top w:val="none" w:sz="0" w:space="0" w:color="auto"/>
                <w:left w:val="none" w:sz="0" w:space="0" w:color="auto"/>
                <w:bottom w:val="none" w:sz="0" w:space="0" w:color="auto"/>
                <w:right w:val="none" w:sz="0" w:space="0" w:color="auto"/>
              </w:divBdr>
            </w:div>
            <w:div w:id="3318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464">
      <w:bodyDiv w:val="1"/>
      <w:marLeft w:val="0"/>
      <w:marRight w:val="0"/>
      <w:marTop w:val="0"/>
      <w:marBottom w:val="0"/>
      <w:divBdr>
        <w:top w:val="none" w:sz="0" w:space="0" w:color="auto"/>
        <w:left w:val="none" w:sz="0" w:space="0" w:color="auto"/>
        <w:bottom w:val="none" w:sz="0" w:space="0" w:color="auto"/>
        <w:right w:val="none" w:sz="0" w:space="0" w:color="auto"/>
      </w:divBdr>
      <w:divsChild>
        <w:div w:id="1572739636">
          <w:marLeft w:val="0"/>
          <w:marRight w:val="0"/>
          <w:marTop w:val="0"/>
          <w:marBottom w:val="0"/>
          <w:divBdr>
            <w:top w:val="none" w:sz="0" w:space="0" w:color="auto"/>
            <w:left w:val="none" w:sz="0" w:space="0" w:color="auto"/>
            <w:bottom w:val="none" w:sz="0" w:space="0" w:color="auto"/>
            <w:right w:val="none" w:sz="0" w:space="0" w:color="auto"/>
          </w:divBdr>
          <w:divsChild>
            <w:div w:id="939683671">
              <w:marLeft w:val="0"/>
              <w:marRight w:val="0"/>
              <w:marTop w:val="0"/>
              <w:marBottom w:val="0"/>
              <w:divBdr>
                <w:top w:val="none" w:sz="0" w:space="0" w:color="auto"/>
                <w:left w:val="none" w:sz="0" w:space="0" w:color="auto"/>
                <w:bottom w:val="none" w:sz="0" w:space="0" w:color="auto"/>
                <w:right w:val="none" w:sz="0" w:space="0" w:color="auto"/>
              </w:divBdr>
            </w:div>
            <w:div w:id="20280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8217">
      <w:bodyDiv w:val="1"/>
      <w:marLeft w:val="0"/>
      <w:marRight w:val="0"/>
      <w:marTop w:val="0"/>
      <w:marBottom w:val="0"/>
      <w:divBdr>
        <w:top w:val="none" w:sz="0" w:space="0" w:color="auto"/>
        <w:left w:val="none" w:sz="0" w:space="0" w:color="auto"/>
        <w:bottom w:val="none" w:sz="0" w:space="0" w:color="auto"/>
        <w:right w:val="none" w:sz="0" w:space="0" w:color="auto"/>
      </w:divBdr>
      <w:divsChild>
        <w:div w:id="1048576063">
          <w:marLeft w:val="0"/>
          <w:marRight w:val="0"/>
          <w:marTop w:val="0"/>
          <w:marBottom w:val="0"/>
          <w:divBdr>
            <w:top w:val="none" w:sz="0" w:space="0" w:color="auto"/>
            <w:left w:val="none" w:sz="0" w:space="0" w:color="auto"/>
            <w:bottom w:val="none" w:sz="0" w:space="0" w:color="auto"/>
            <w:right w:val="none" w:sz="0" w:space="0" w:color="auto"/>
          </w:divBdr>
          <w:divsChild>
            <w:div w:id="81266605">
              <w:marLeft w:val="0"/>
              <w:marRight w:val="0"/>
              <w:marTop w:val="0"/>
              <w:marBottom w:val="0"/>
              <w:divBdr>
                <w:top w:val="none" w:sz="0" w:space="0" w:color="auto"/>
                <w:left w:val="none" w:sz="0" w:space="0" w:color="auto"/>
                <w:bottom w:val="none" w:sz="0" w:space="0" w:color="auto"/>
                <w:right w:val="none" w:sz="0" w:space="0" w:color="auto"/>
              </w:divBdr>
            </w:div>
            <w:div w:id="314917321">
              <w:marLeft w:val="0"/>
              <w:marRight w:val="0"/>
              <w:marTop w:val="0"/>
              <w:marBottom w:val="0"/>
              <w:divBdr>
                <w:top w:val="none" w:sz="0" w:space="0" w:color="auto"/>
                <w:left w:val="none" w:sz="0" w:space="0" w:color="auto"/>
                <w:bottom w:val="none" w:sz="0" w:space="0" w:color="auto"/>
                <w:right w:val="none" w:sz="0" w:space="0" w:color="auto"/>
              </w:divBdr>
            </w:div>
            <w:div w:id="932130030">
              <w:marLeft w:val="0"/>
              <w:marRight w:val="0"/>
              <w:marTop w:val="0"/>
              <w:marBottom w:val="0"/>
              <w:divBdr>
                <w:top w:val="none" w:sz="0" w:space="0" w:color="auto"/>
                <w:left w:val="none" w:sz="0" w:space="0" w:color="auto"/>
                <w:bottom w:val="none" w:sz="0" w:space="0" w:color="auto"/>
                <w:right w:val="none" w:sz="0" w:space="0" w:color="auto"/>
              </w:divBdr>
            </w:div>
            <w:div w:id="1002701919">
              <w:marLeft w:val="0"/>
              <w:marRight w:val="0"/>
              <w:marTop w:val="0"/>
              <w:marBottom w:val="0"/>
              <w:divBdr>
                <w:top w:val="none" w:sz="0" w:space="0" w:color="auto"/>
                <w:left w:val="none" w:sz="0" w:space="0" w:color="auto"/>
                <w:bottom w:val="none" w:sz="0" w:space="0" w:color="auto"/>
                <w:right w:val="none" w:sz="0" w:space="0" w:color="auto"/>
              </w:divBdr>
            </w:div>
            <w:div w:id="1071196777">
              <w:marLeft w:val="0"/>
              <w:marRight w:val="0"/>
              <w:marTop w:val="0"/>
              <w:marBottom w:val="0"/>
              <w:divBdr>
                <w:top w:val="none" w:sz="0" w:space="0" w:color="auto"/>
                <w:left w:val="none" w:sz="0" w:space="0" w:color="auto"/>
                <w:bottom w:val="none" w:sz="0" w:space="0" w:color="auto"/>
                <w:right w:val="none" w:sz="0" w:space="0" w:color="auto"/>
              </w:divBdr>
            </w:div>
            <w:div w:id="1720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1847">
      <w:bodyDiv w:val="1"/>
      <w:marLeft w:val="0"/>
      <w:marRight w:val="0"/>
      <w:marTop w:val="0"/>
      <w:marBottom w:val="0"/>
      <w:divBdr>
        <w:top w:val="none" w:sz="0" w:space="0" w:color="auto"/>
        <w:left w:val="none" w:sz="0" w:space="0" w:color="auto"/>
        <w:bottom w:val="none" w:sz="0" w:space="0" w:color="auto"/>
        <w:right w:val="none" w:sz="0" w:space="0" w:color="auto"/>
      </w:divBdr>
      <w:divsChild>
        <w:div w:id="204372807">
          <w:marLeft w:val="0"/>
          <w:marRight w:val="0"/>
          <w:marTop w:val="0"/>
          <w:marBottom w:val="0"/>
          <w:divBdr>
            <w:top w:val="none" w:sz="0" w:space="0" w:color="auto"/>
            <w:left w:val="none" w:sz="0" w:space="0" w:color="auto"/>
            <w:bottom w:val="none" w:sz="0" w:space="0" w:color="auto"/>
            <w:right w:val="none" w:sz="0" w:space="0" w:color="auto"/>
          </w:divBdr>
          <w:divsChild>
            <w:div w:id="118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Senami Hodonu</dc:creator>
  <cp:keywords/>
  <dc:description/>
  <cp:lastModifiedBy>Senami Hodonu</cp:lastModifiedBy>
  <cp:revision>107</cp:revision>
  <dcterms:created xsi:type="dcterms:W3CDTF">2023-04-10T16:32:00Z</dcterms:created>
  <dcterms:modified xsi:type="dcterms:W3CDTF">2023-04-11T02:28:00Z</dcterms:modified>
</cp:coreProperties>
</file>