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b/>
          <w:bCs/>
          <w:color w:val="C9932F"/>
          <w:sz w:val="22"/>
          <w:szCs w:val="22"/>
        </w:rPr>
        <w:t xml:space="preserve">ТРЕК 3</w:t>
      </w:r>
    </w:p>
    <w:p>
      <w:pPr>
        <w:spacing w:after="200" w:before="80"/>
        <w:jc w:val="center"/>
      </w:pPr>
      <w:r>
        <w:rPr>
          <w:b/>
          <w:bCs/>
          <w:color w:val="12213B"/>
          <w:sz w:val="38"/>
          <w:szCs w:val="38"/>
        </w:rPr>
        <w:t xml:space="preserve">Интеллектуальная роботизированная система сортировки товаров</w:t>
      </w:r>
    </w:p>
    <w:p>
      <w:pPr>
        <w:spacing w:after="400"/>
        <w:jc w:val="center"/>
      </w:pPr>
      <w:r>
        <w:rPr>
          <w:color w:val="6B6B66"/>
          <w:sz w:val="24"/>
          <w:szCs w:val="24"/>
        </w:rPr>
        <w:t xml:space="preserve">Технический отчёт команды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6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Математическая модель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прямая и обратная кинематика, рабочая зона, якобиан, манипулируемость, сингулярности, статический момент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Алгоритмическая часть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визуальная оболочка, OBB через PCA, критерий «круг в сечении», обработка краевых случаев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Синхронизация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трекинг по энкодеру, бюджет задержек, механика перехода в буфер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Конфигурация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параметры измерительного тракта, классификатора и исполнительной части, бюджет погрешности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Буфер и компоновка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вместимость 5 мест, устойчивость к пачкам, 3D-модель и координаты размещения</w:t>
            </w:r>
          </w:p>
        </w:tc>
      </w:tr>
    </w:tbl>
    <w:p>
      <w:pPr>
        <w:spacing w:after="1600"/>
      </w:pPr>
    </w:p>
    <w:p>
      <w:r>
        <w:br w:type="page"/>
      </w:r>
    </w:p>
    <w:p>
      <w:pPr>
        <w:pStyle w:val="Heading1"/>
        <w:spacing w:after="160" w:before="360"/>
      </w:pPr>
      <w:r>
        <w:t xml:space="preserve">Содержание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11111"/>
          <w:sz w:val="21"/>
          <w:szCs w:val="21"/>
        </w:rPr>
        <w:t xml:space="preserve">1. Введение</w:t>
      </w:r>
      <w:r>
        <w:rPr>
          <w:b/>
          <w:bCs/>
          <w:color w:val="111111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1.1 Постановка задачи</w:t>
      </w:r>
      <w:r>
        <w:rPr>
          <w:b w:val="false"/>
          <w:bCs w:val="false"/>
          <w:color w:val="111111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1.2 Условия, в которых работает команда</w:t>
      </w:r>
      <w:r>
        <w:rPr>
          <w:b w:val="false"/>
          <w:bCs w:val="false"/>
          <w:color w:val="111111"/>
          <w:sz w:val="19"/>
          <w:szCs w:val="19"/>
        </w:rP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11111"/>
          <w:sz w:val="21"/>
          <w:szCs w:val="21"/>
        </w:rPr>
        <w:t xml:space="preserve">2. Основная часть</w:t>
      </w:r>
      <w:r>
        <w:rPr>
          <w:b/>
          <w:bCs/>
          <w:color w:val="111111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2.1 Математическая модель манипулятора</w:t>
      </w:r>
      <w:r>
        <w:rPr>
          <w:b w:val="false"/>
          <w:bCs w:val="false"/>
          <w:color w:val="111111"/>
          <w:sz w:val="19"/>
          <w:szCs w:val="19"/>
        </w:rPr>
        <w:t xml:space="preserve">	5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2.1.1 Система координат и обозначения</w:t>
      </w:r>
      <w:r>
        <w:rPr>
          <w:b w:val="false"/>
          <w:bCs w:val="false"/>
          <w:color w:val="666666"/>
          <w:sz w:val="18"/>
          <w:szCs w:val="18"/>
        </w:rPr>
        <w:t xml:space="preserve">	5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2.1.2 Прямая кинематика</w:t>
      </w:r>
      <w:r>
        <w:rPr>
          <w:b w:val="false"/>
          <w:bCs w:val="false"/>
          <w:color w:val="666666"/>
          <w:sz w:val="18"/>
          <w:szCs w:val="18"/>
        </w:rPr>
        <w:t xml:space="preserve">	5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2.1.3 Обратная кинематика</w:t>
      </w:r>
      <w:r>
        <w:rPr>
          <w:b w:val="false"/>
          <w:bCs w:val="false"/>
          <w:color w:val="666666"/>
          <w:sz w:val="18"/>
          <w:szCs w:val="18"/>
        </w:rPr>
        <w:t xml:space="preserve">	6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2.1.4 Рабочая зона с учётом пределов приводов</w:t>
      </w:r>
      <w:r>
        <w:rPr>
          <w:b w:val="false"/>
          <w:bCs w:val="false"/>
          <w:color w:val="666666"/>
          <w:sz w:val="18"/>
          <w:szCs w:val="18"/>
        </w:rPr>
        <w:t xml:space="preserve">	7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2.1.5 Якобиан и манипулируемость</w:t>
      </w:r>
      <w:r>
        <w:rPr>
          <w:b w:val="false"/>
          <w:bCs w:val="false"/>
          <w:color w:val="666666"/>
          <w:sz w:val="18"/>
          <w:szCs w:val="18"/>
        </w:rPr>
        <w:t xml:space="preserve">	7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2.1.6 Сингулярности</w:t>
      </w:r>
      <w:r>
        <w:rPr>
          <w:b w:val="false"/>
          <w:bCs w:val="false"/>
          <w:color w:val="666666"/>
          <w:sz w:val="18"/>
          <w:szCs w:val="18"/>
        </w:rPr>
        <w:t xml:space="preserve">	8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2.1.7 Статический момент и грузоподъёмность</w:t>
      </w:r>
      <w:r>
        <w:rPr>
          <w:b w:val="false"/>
          <w:bCs w:val="false"/>
          <w:color w:val="666666"/>
          <w:sz w:val="18"/>
          <w:szCs w:val="18"/>
        </w:rPr>
        <w:t xml:space="preserve">	8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2.2 Алгоритмическая часть: определение и классификация товара</w:t>
      </w:r>
      <w:r>
        <w:rPr>
          <w:b w:val="false"/>
          <w:bCs w:val="false"/>
          <w:color w:val="111111"/>
          <w:sz w:val="19"/>
          <w:szCs w:val="19"/>
        </w:rPr>
        <w:t xml:space="preserve">	9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2.2.1 Общая схема обработки</w:t>
      </w:r>
      <w:r>
        <w:rPr>
          <w:b w:val="false"/>
          <w:bCs w:val="false"/>
          <w:color w:val="666666"/>
          <w:sz w:val="18"/>
          <w:szCs w:val="18"/>
        </w:rPr>
        <w:t xml:space="preserve">	9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2.2.2 Восстановление геометрии: визуальная оболочка</w:t>
      </w:r>
      <w:r>
        <w:rPr>
          <w:b w:val="false"/>
          <w:bCs w:val="false"/>
          <w:color w:val="666666"/>
          <w:sz w:val="18"/>
          <w:szCs w:val="18"/>
        </w:rPr>
        <w:t xml:space="preserve">	9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2.2.3 Габаритный фильтр: OBB</w:t>
      </w:r>
      <w:r>
        <w:rPr>
          <w:b w:val="false"/>
          <w:bCs w:val="false"/>
          <w:color w:val="666666"/>
          <w:sz w:val="18"/>
          <w:szCs w:val="18"/>
        </w:rPr>
        <w:t xml:space="preserve">	9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2.2.4 Критерий «круг в сечении»: корректная формулировка</w:t>
      </w:r>
      <w:r>
        <w:rPr>
          <w:b w:val="false"/>
          <w:bCs w:val="false"/>
          <w:color w:val="666666"/>
          <w:sz w:val="18"/>
          <w:szCs w:val="18"/>
        </w:rPr>
        <w:t xml:space="preserve">	9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2.2.5 Вычисление вписанной и описанной окружностей</w:t>
      </w:r>
      <w:r>
        <w:rPr>
          <w:b w:val="false"/>
          <w:bCs w:val="false"/>
          <w:color w:val="666666"/>
          <w:sz w:val="18"/>
          <w:szCs w:val="18"/>
        </w:rPr>
        <w:t xml:space="preserve">	10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2.2.6 Систематическое смещение оболочки и сдвиг порога</w:t>
      </w:r>
      <w:r>
        <w:rPr>
          <w:b w:val="false"/>
          <w:bCs w:val="false"/>
          <w:color w:val="666666"/>
          <w:sz w:val="18"/>
          <w:szCs w:val="18"/>
        </w:rPr>
        <w:t xml:space="preserve">	10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2.2.7 Обработка неоднозначных и краевых случаев</w:t>
      </w:r>
      <w:r>
        <w:rPr>
          <w:b w:val="false"/>
          <w:bCs w:val="false"/>
          <w:color w:val="666666"/>
          <w:sz w:val="18"/>
          <w:szCs w:val="18"/>
        </w:rPr>
        <w:t xml:space="preserve">	11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2.2.8 Псевдокод классификатора</w:t>
      </w:r>
      <w:r>
        <w:rPr>
          <w:b w:val="false"/>
          <w:bCs w:val="false"/>
          <w:color w:val="666666"/>
          <w:sz w:val="18"/>
          <w:szCs w:val="18"/>
        </w:rPr>
        <w:t xml:space="preserve">	11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2.3 Синхронизация по времени и трекинг товара</w:t>
      </w:r>
      <w:r>
        <w:rPr>
          <w:b w:val="false"/>
          <w:bCs w:val="false"/>
          <w:color w:val="111111"/>
          <w:sz w:val="19"/>
          <w:szCs w:val="19"/>
        </w:rPr>
        <w:t xml:space="preserve">	12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2.3.1 Механика перехода в буфер и вместимость буфера</w:t>
      </w:r>
      <w:r>
        <w:rPr>
          <w:b w:val="false"/>
          <w:bCs w:val="false"/>
          <w:color w:val="666666"/>
          <w:sz w:val="18"/>
          <w:szCs w:val="18"/>
        </w:rPr>
        <w:t xml:space="preserve">	12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2.4 Архитектура ПО и связь с электроникой</w:t>
      </w:r>
      <w:r>
        <w:rPr>
          <w:b w:val="false"/>
          <w:bCs w:val="false"/>
          <w:color w:val="111111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2.5 Конфигурация системы</w:t>
      </w:r>
      <w:r>
        <w:rPr>
          <w:b w:val="false"/>
          <w:bCs w:val="false"/>
          <w:color w:val="111111"/>
          <w:sz w:val="19"/>
          <w:szCs w:val="19"/>
        </w:rPr>
        <w:t xml:space="preserve">	14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2.5.1 Системы координат и преобразования между ними</w:t>
      </w:r>
      <w:r>
        <w:rPr>
          <w:b w:val="false"/>
          <w:bCs w:val="false"/>
          <w:color w:val="666666"/>
          <w:sz w:val="18"/>
          <w:szCs w:val="18"/>
        </w:rPr>
        <w:t xml:space="preserve">	14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2.5.2 Параметры измерительного тракта</w:t>
      </w:r>
      <w:r>
        <w:rPr>
          <w:b w:val="false"/>
          <w:bCs w:val="false"/>
          <w:color w:val="666666"/>
          <w:sz w:val="18"/>
          <w:szCs w:val="18"/>
        </w:rPr>
        <w:t xml:space="preserve">	15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2.5.3 Параметры классификатора</w:t>
      </w:r>
      <w:r>
        <w:rPr>
          <w:b w:val="false"/>
          <w:bCs w:val="false"/>
          <w:color w:val="666666"/>
          <w:sz w:val="18"/>
          <w:szCs w:val="18"/>
        </w:rPr>
        <w:t xml:space="preserve">	15</w:t>
      </w:r>
    </w:p>
    <w:p>
      <w:pPr>
        <w:tabs>
          <w:tab w:val="right" w:pos="9026" w:leader="dot"/>
        </w:tabs>
        <w:spacing w:after="40"/>
        <w:ind w:left="520"/>
      </w:pPr>
      <w:r>
        <w:rPr>
          <w:b w:val="false"/>
          <w:bCs w:val="false"/>
          <w:color w:val="666666"/>
          <w:sz w:val="18"/>
          <w:szCs w:val="18"/>
        </w:rPr>
        <w:t xml:space="preserve">2.5.4 Параметры исполнительной части</w:t>
      </w:r>
      <w:r>
        <w:rPr>
          <w:b w:val="false"/>
          <w:bCs w:val="false"/>
          <w:color w:val="666666"/>
          <w:sz w:val="18"/>
          <w:szCs w:val="18"/>
        </w:rPr>
        <w:t xml:space="preserve">	15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2.6 Бюджет погрешности измерения габаритов</w:t>
      </w:r>
      <w:r>
        <w:rPr>
          <w:b w:val="false"/>
          <w:bCs w:val="false"/>
          <w:color w:val="111111"/>
          <w:sz w:val="19"/>
          <w:szCs w:val="19"/>
        </w:rPr>
        <w:t xml:space="preserve">	17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2.7 Расчёты для прототипа</w:t>
      </w:r>
      <w:r>
        <w:rPr>
          <w:b w:val="false"/>
          <w:bCs w:val="false"/>
          <w:color w:val="111111"/>
          <w:sz w:val="19"/>
          <w:szCs w:val="19"/>
        </w:rPr>
        <w:t xml:space="preserve">	17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2.8 Расчёты для идеальной модели и обоснование выбора параметров</w:t>
      </w:r>
      <w:r>
        <w:rPr>
          <w:b w:val="false"/>
          <w:bCs w:val="false"/>
          <w:color w:val="111111"/>
          <w:sz w:val="19"/>
          <w:szCs w:val="19"/>
        </w:rPr>
        <w:t xml:space="preserve">	19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>2.10 3D-модель прототипа: сборка и разнесённая сборка по STL</w:t>
      </w:r>
      <w:r>
        <w:rPr>
          <w:b w:val="false"/>
          <w:bCs w:val="false"/>
          <w:color w:val="111111"/>
          <w:sz w:val="19"/>
          <w:szCs w:val="19"/>
        </w:rPr>
        <w:t xml:space="preserve">	19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>2.11 Рекомендации по размещению манипулятора относительно буферной зоны</w:t>
      </w:r>
      <w:r>
        <w:rPr>
          <w:b w:val="false"/>
          <w:bCs w:val="false"/>
          <w:color w:val="111111"/>
          <w:sz w:val="19"/>
          <w:szCs w:val="19"/>
        </w:rPr>
        <w:t xml:space="preserve">	21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>2.12 Безопасность эксплуатации</w:t>
      </w:r>
      <w:r>
        <w:rPr>
          <w:b w:val="false"/>
          <w:bCs w:val="false"/>
          <w:color w:val="111111"/>
          <w:sz w:val="19"/>
          <w:szCs w:val="19"/>
        </w:rPr>
        <w:t xml:space="preserve">	23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>2.13 Воспроизводимость: запуск и проверка</w:t>
      </w:r>
      <w:r>
        <w:rPr>
          <w:b w:val="false"/>
          <w:bCs w:val="false"/>
          <w:color w:val="111111"/>
          <w:sz w:val="19"/>
          <w:szCs w:val="19"/>
        </w:rPr>
        <w:t xml:space="preserve">	23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>2.14 Состав материалов и соответствие требованиям сдачи</w:t>
      </w:r>
      <w:r>
        <w:rPr>
          <w:b w:val="false"/>
          <w:bCs w:val="false"/>
          <w:color w:val="111111"/>
          <w:sz w:val="19"/>
          <w:szCs w:val="19"/>
        </w:rPr>
        <w:t xml:space="preserve">	23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>2.15 Самооценка по критериям оценки трека</w:t>
      </w:r>
      <w:r>
        <w:rPr>
          <w:b w:val="false"/>
          <w:bCs w:val="false"/>
          <w:color w:val="111111"/>
          <w:sz w:val="19"/>
          <w:szCs w:val="19"/>
        </w:rPr>
        <w:t xml:space="preserve">	24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11111"/>
          <w:sz w:val="21"/>
          <w:szCs w:val="21"/>
        </w:rPr>
        <w:t xml:space="preserve">3. Заключение и вектор развития</w:t>
      </w:r>
      <w:r>
        <w:rPr>
          <w:b/>
          <w:bCs/>
          <w:color w:val="111111"/>
          <w:sz w:val="21"/>
          <w:szCs w:val="21"/>
        </w:rPr>
        <w:t xml:space="preserve">	26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3.1 Что реализовано</w:t>
      </w:r>
      <w:r>
        <w:rPr>
          <w:b w:val="false"/>
          <w:bCs w:val="false"/>
          <w:color w:val="111111"/>
          <w:sz w:val="19"/>
          <w:szCs w:val="19"/>
        </w:rPr>
        <w:t xml:space="preserve">	26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3.2 Что требует доработки</w:t>
      </w:r>
      <w:r>
        <w:rPr>
          <w:b w:val="false"/>
          <w:bCs w:val="false"/>
          <w:color w:val="111111"/>
          <w:sz w:val="19"/>
          <w:szCs w:val="19"/>
        </w:rPr>
        <w:t xml:space="preserve">	26</w:t>
      </w:r>
    </w:p>
    <w:p>
      <w:pPr>
        <w:tabs>
          <w:tab w:val="right" w:pos="9026" w:leader="dot"/>
        </w:tabs>
        <w:spacing w:after="40"/>
        <w:ind w:left="260"/>
      </w:pPr>
      <w:r>
        <w:rPr>
          <w:b w:val="false"/>
          <w:bCs w:val="false"/>
          <w:color w:val="111111"/>
          <w:sz w:val="19"/>
          <w:szCs w:val="19"/>
        </w:rPr>
        <w:t xml:space="preserve">3.3 Вектор развития за пределами хакатона</w:t>
      </w:r>
      <w:r>
        <w:rPr>
          <w:b w:val="false"/>
          <w:bCs w:val="false"/>
          <w:color w:val="111111"/>
          <w:sz w:val="19"/>
          <w:szCs w:val="19"/>
        </w:rPr>
        <w:t xml:space="preserve">	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Введение</w:t>
      </w:r>
    </w:p>
    <w:p>
      <w:pPr>
        <w:pStyle w:val="Heading2"/>
        <w:spacing w:after="120" w:before="280"/>
      </w:pPr>
      <w:r>
        <w:t xml:space="preserve">1.1 Постановка задачи</w:t>
      </w:r>
    </w:p>
    <w:p>
      <w:pPr>
        <w:spacing w:after="140" w:line="276"/>
      </w:pPr>
      <w:r>
        <w:t xml:space="preserve">Задача трека — разработать программно-аппаратный комплекс (ПАК), который на подводящем участке сортировочного центра определяет класс каждого товара и физически направляет его в одну из трёх зон обработки. Классификация выполняется ровно в одну из трёх взаимоисключающих категорий: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«Подходит для сортировки» (зона B) — габариты в пределах 10×10×10…450×320×320 мм, форма не относится к объектам с кругом в сечении;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«Не подходит по габаритам» (зона C) — вне указанного диапазона размеров;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«Не подходит без доупаковки» (зона D) — в пределах габаритов, но с круглым сечением (критерий K = rвпис/Rопис &gt; 0,8).</w:t>
      </w:r>
    </w:p>
    <w:p>
      <w:pPr>
        <w:spacing w:after="140" w:line="276"/>
      </w:pPr>
      <w:r>
        <w:t xml:space="preserve">Приоритет правил: сначала проверяются габариты, затем форма — товар, одновременно не проходящий по размеру и имеющий круглое сечение, относится к категории C, а не D. Решение оценивается по двум независимым осям — глубина проработки классификации и глубина проработки исполнительной (механической) части — а также по критериям связности, синхронизации по времени, устойчивости к нештатным ситуациям и безопасности эксплуатации.</w:t>
      </w:r>
    </w:p>
    <w:p>
      <w:pPr>
        <w:pStyle w:val="Heading2"/>
        <w:spacing w:after="120" w:before="280"/>
      </w:pPr>
      <w:r>
        <w:t xml:space="preserve">1.2 Условия, в которых работает команда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Срок — 3 дня до сдачи; регламент явно допускает физический макет не в масштабе 1:1, приравнивая по формату инженерно проработанное цифровое/расчётное решение к физическому прототипу.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Состав команды: один участник собирает мини-манипулятор (4 сервопривода: основание, плечо, локоть, схват), второй — конвейерную и алгоритмическую часть.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Архитектурное решение: конвейер A напрямую механически соединён с конвейером зоны B — товары категории «подходит для сортировки» не требуют вмешательства манипулятора и едут напрямую. Товары категорий C и D скатываются с основной линии в буферную линию на 5 мест, откуда манипулятор поочерёдно перекладывает их в тару C или 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Связь Raspberry Pi ↔ Arduino реализована по протоколу SHOOT/SEQ/DONE поверх Serial (115200 бод), подробности — в разделе 2.4.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1. Рабочий эскиз компоновки: линия A→B (переход в сортировщик напрямую) и манипулятор «колонна + поворот» у буферной зоны.</w:t>
      </w:r>
    </w:p>
    <w:p>
      <w:pPr>
        <w:spacing w:after="140" w:line="276"/>
      </w:pPr>
      <w:r>
        <w:t xml:space="preserve">Ниже (раздел 2.11) эта компоновка формализована конкретными координатами относительно базы манипулятора — отдельно для прототипа и для целевой (идеальной) системы.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Основная часть</w:t>
      </w:r>
    </w:p>
    <w:p>
      <w:pPr>
        <w:pStyle w:val="Heading2"/>
        <w:spacing w:after="120" w:before="280"/>
      </w:pPr>
      <w:r>
        <w:t xml:space="preserve">2.1 Математическая модель манипулятора</w:t>
      </w:r>
    </w:p>
    <w:p>
      <w:pPr>
        <w:pStyle w:val="Heading3"/>
        <w:spacing w:after="100" w:before="220"/>
      </w:pPr>
      <w:r>
        <w:t xml:space="preserve">2.1.1 Система координат и обозначения</w:t>
      </w:r>
    </w:p>
    <w:p>
      <w:pPr>
        <w:spacing w:after="140" w:line="276"/>
      </w:pPr>
      <w:r>
        <w:t xml:space="preserve">Манипулятор — плоский двухзвенный механизм (плечо + предплечье) на поворотном основании, то есть система с тремя степенями свободы. Мировая система координат: X, Y — горизонтальная плоскость, Z — высота; начало координат совмещено с осью поворота основания на уровне стола.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00"/>
      </w:tblGrid>
      <w:tr>
        <w:trPr>
          <w:tblHeader/>
        </w:trPr>
        <w:tc>
          <w:tcPr>
            <w:tcW w:type="dxa" w:w="1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Обозначение</w:t>
            </w:r>
          </w:p>
        </w:tc>
        <w:tc>
          <w:tcPr>
            <w:tcW w:type="dxa" w:w="5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  <w:tc>
          <w:tcPr>
            <w:tcW w:type="dxa" w:w="2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Прототип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θb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угол поворота основания вокруг вертикальной оси Z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θs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угол плеча относительно горизонтали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θe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угол локтя относительно продолжения плеча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длина плеча (ось поворота плеча → ось локтя)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210 мм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длина предплечья (ось локтя → точка захвата)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146 мм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H0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высота оси плеча над столом (база + турель)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178 мм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вылет в горизонтальной плоскости, r = √(x²+y²)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превышение цели над осью плеча, w = z − H0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00" w:before="220"/>
      </w:pPr>
      <w:r>
        <w:t xml:space="preserve">2.1.2 Прямая кинематика</w:t>
      </w:r>
    </w:p>
    <w:p>
      <w:pPr>
        <w:spacing w:after="140" w:line="276"/>
      </w:pPr>
      <w:r>
        <w:t xml:space="preserve">Прямая задача — по известным углам получить положение схвата: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r = L1·cos(θs) + L2·cos(θs + θe)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z = H0 + L1·sin(θs) + L2·sin(θs + θe)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x = r·cos(θb)                    y = r·sin(θb)</w:t>
      </w:r>
    </w:p>
    <w:p>
      <w:pPr>
        <w:spacing w:after="140" w:line="276"/>
      </w:pPr>
      <w:r>
        <w:t xml:space="preserve">Прямая кинематика используется в двух местах: для построения 3D-визуализации сборки в заданной позе (раздел 2.9) и как контрольная проверка обратной задачи — подстановка полученных углов обратно в эти формулы должна вернуть исходную целевую точку.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2. Схема двухзвенного манипулятора с обозначением θb, θs, θe, L1, L2, H0.</w:t>
      </w:r>
    </w:p>
    <w:p>
      <w:pPr>
        <w:pStyle w:val="Heading3"/>
        <w:spacing w:after="100" w:before="220"/>
      </w:pPr>
      <w:r>
        <w:t xml:space="preserve">2.1.3 Обратная кинематика</w:t>
      </w:r>
    </w:p>
    <w:p>
      <w:pPr>
        <w:spacing w:after="140" w:line="276"/>
      </w:pPr>
      <w:r>
        <w:t xml:space="preserve">Обратная задача — по требуемой точке захвата или сброса получить углы приводов — это то, что реально вычисляется в рантайме на каждый товар. Решение аналитическое (замкнутая форма), итерационные методы не требуются.</w:t>
      </w:r>
    </w:p>
    <w:p>
      <w:pPr>
        <w:spacing w:after="140" w:line="276"/>
      </w:pPr>
      <w:r>
        <w:t xml:space="preserve">Шаг 1. Угол основания отделяется от плоской задачи: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θb = atan2(y, x)</w:t>
      </w:r>
    </w:p>
    <w:p>
      <w:pPr>
        <w:spacing w:after="140" w:line="276"/>
      </w:pPr>
      <w:r>
        <w:t xml:space="preserve">Шаг 2. Приведение к плоской задаче — цель задаётся парой (r, w):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r = √(x² + y²)      w = z − H0      d² = r² + w²</w:t>
      </w:r>
    </w:p>
    <w:p>
      <w:pPr>
        <w:spacing w:after="140" w:line="276"/>
      </w:pPr>
      <w:r>
        <w:t xml:space="preserve">Шаг 3. Проверка достижимости — точка достижима тогда и только тогда, когда d лежит в кольце: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|L1 − L2| ≤ d ≤ L1 + L2</w:t>
      </w:r>
    </w:p>
    <w:p>
      <w:pPr>
        <w:spacing w:after="140" w:line="276"/>
      </w:pPr>
      <w:r>
        <w:t xml:space="preserve">Проверка выполняется до подачи команды на движение: если условие нарушено, товар помечается как недостижимый и уводится на ручной разбор, а не вызывает ошибку исполнения.</w:t>
      </w:r>
    </w:p>
    <w:p>
      <w:pPr>
        <w:spacing w:after="140" w:line="276"/>
      </w:pPr>
      <w:r>
        <w:t xml:space="preserve">Шаг 4. Угол локтя по теореме косинусов (треугольник со сторонами L1, L2, d):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cos(θe) = (d² − L1² − L2²) / (2·L1·L2)          θe = ± arccos(cos θe)</w:t>
      </w:r>
    </w:p>
    <w:p>
      <w:pPr>
        <w:spacing w:after="140" w:line="276"/>
      </w:pPr>
      <w:r>
        <w:t xml:space="preserve">Знак задаёт одну из двух конфигураций — «локоть вверх» и «локоть вниз»; обе выводят схват в одну и ту же точку, но через разные позы звеньев (рис. 3).</w:t>
      </w:r>
    </w:p>
    <w:p>
      <w:pPr>
        <w:spacing w:after="140" w:line="276"/>
      </w:pPr>
      <w:r>
        <w:t xml:space="preserve">Шаг 5. Угол плеча: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θs = atan2(w, r) − atan2(L2·sin θe, L1 + L2·cos θe)</w:t>
      </w:r>
    </w:p>
    <w:p>
      <w:pPr>
        <w:spacing w:after="140" w:line="276"/>
      </w:pPr>
      <w:r>
        <w:t xml:space="preserve">Шаг 6. Перевод в углы приводов с калибровочным смещением и проверкой механических пределов: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θ_i^servo = θ_i^math + offset_i,     при условии  lo_i ≤ θ_i^servo ≤ hi_i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Почему проверяются обе конфигурации локтя: геометрическая достижимость (шаг 3) не гарантирует исполнимость — конфигурация может требовать угла за пределом сервопривода. В рантайме перебираются оба решения (elbow-up/elbow-down), берётся первое, прошедшее проверку пределов. Это заметно расширяет фактическую рабочую зону по сравнению с одной фиксированной конфигурацией.</w:t>
      </w:r>
    </w:p>
    <w:p>
      <w:pPr>
        <w:spacing w:after="140" w:line="276"/>
      </w:pPr>
      <w:r>
        <w:t xml:space="preserve">Корректность реализации проверена численно замкнутым циклом «прямая → обратная → прямая»: для набора контрольных поз невязка между исходной и восстановленной точкой не превышает 10⁻¹³ мм, то есть ограничена только машинной точностью.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3. Две ветви обратной кинематики (локоть вверх / вниз) для одной целевой точки.</w:t>
      </w:r>
    </w:p>
    <w:p>
      <w:pPr>
        <w:pStyle w:val="Heading3"/>
        <w:spacing w:after="100" w:before="220"/>
      </w:pPr>
      <w:r>
        <w:t xml:space="preserve">2.1.4 Рабочая зона с учётом пределов приводов</w:t>
      </w:r>
    </w:p>
    <w:p>
      <w:pPr>
        <w:spacing w:after="140" w:line="276"/>
      </w:pPr>
      <w:r>
        <w:t xml:space="preserve">Формальное кольцо R_min ≤ d ≤ R_max описывает только геометрическую достижимость. Фактическая рабочая зона — подмножество этого кольца, дополнительно ограниченное диапазонами хода сервоприводов: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W = {(x,y,z): |L1−L2|≤d≤L1+L2  ∧  ∃ конфигурация, где ∀i: lo_i ≤ θ_i ≤ hi_i}</w:t>
      </w:r>
    </w:p>
    <w:p>
      <w:pPr>
        <w:spacing w:after="140" w:line="276"/>
      </w:pPr>
      <w:r>
        <w:t xml:space="preserve">Практическое следствие для компоновки: у прототипа с офсетами плеча и локтя по 90° и пределами 0…180° часть геометрически достижимых точек оказывается неисполнимой — в первую очередь низкие точки вблизи основания. Именно поэтому буферная зона поднята над столом, а не расположена на его уровне. Проверка выполняется автоматически на этапе расчёта траектории и является частью критерия «устойчивость к нештатным ситуациям».</w:t>
      </w:r>
    </w:p>
    <w:p>
      <w:pPr>
        <w:pStyle w:val="Heading3"/>
        <w:spacing w:after="100" w:before="220"/>
      </w:pPr>
      <w:r>
        <w:t xml:space="preserve">2.1.5 Якобиан и манипулируемость</w:t>
      </w:r>
    </w:p>
    <w:p>
      <w:pPr>
        <w:spacing w:after="140" w:line="276"/>
      </w:pPr>
      <w:r>
        <w:t xml:space="preserve">Якобиан связывает угловые скорости приводов с линейной скоростью схвата. Для плоской части механизма (r, w):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∂r/∂θs = −L1·sinθs − L2·sin(θs+θe)        ∂r/∂θe = −L2·sin(θs+θe)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∂w/∂θs =  L1·cosθs + L2·cos(θs+θe)        ∂w/∂θe =  L2·cos(θs+θe)</w:t>
      </w:r>
    </w:p>
    <w:p>
      <w:pPr>
        <w:spacing w:after="140" w:line="276"/>
      </w:pPr>
      <w:r>
        <w:t xml:space="preserve">Определитель якобиана сводится к компактному выражению, зависящему только от угла локтя: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det J = L1·L2·sin(θe)          w = |det J| = L1·L2·|sin(θe)|</w:t>
      </w:r>
    </w:p>
    <w:p>
      <w:pPr>
        <w:spacing w:after="140" w:line="276"/>
      </w:pPr>
      <w:r>
        <w:t xml:space="preserve">Величина w — индекс манипулируемости: чем он больше, тем меньшие угловые скорости приводов нужны для заданной линейной скорости схвата и тем меньше потеря точности. Максимум достигается при θe = ±90°, что соответствует вылету: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r_opt = √(L1² + L2²)</w:t>
      </w:r>
    </w:p>
    <w:p>
      <w:pPr>
        <w:spacing w:after="140" w:line="276"/>
      </w:pPr>
      <w:r>
        <w:t xml:space="preserve">Для прототипа r_opt = √(210² + 146²) ≈ 255,8 мм, то есть 71,8% от R_max — количественное обоснование правилу размещения из раздела 2.11: рабочие точки следует располагать не у предела вылета и не у основания, а в средней части кольца.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4. Эллипсы манипулируемости по рабочей зоне: у границ кольца эллипсы вырождаются в линию (сингулярность), в середине — близки к окружности.</w:t>
      </w:r>
    </w:p>
    <w:p>
      <w:pPr>
        <w:pStyle w:val="Heading3"/>
        <w:spacing w:after="100" w:before="220"/>
      </w:pPr>
      <w:r>
        <w:t xml:space="preserve">2.1.6 Сингулярности</w:t>
      </w:r>
    </w:p>
    <w:p>
      <w:pPr>
        <w:spacing w:after="140" w:line="276"/>
      </w:pPr>
      <w:r>
        <w:t xml:space="preserve">Из det J = L1·L2·sin(θe) следуют две вырожденные конфигурации: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θe = 0 — звенья вытянуты в линию, d = L1+L2 (внешняя граница). Схват не может двигаться дальше от основания ни при каких угловых скоростях.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θe = ±180° — звенья сложены, d = |L1−L2| (внутренняя граница, мёртвая зона у основания).</w:t>
      </w:r>
    </w:p>
    <w:p>
      <w:pPr>
        <w:spacing w:after="140" w:line="276"/>
      </w:pPr>
      <w:r>
        <w:t xml:space="preserve">Практическое правило: рабочие точки удерживаются в диапазоне примерно 50–75% от R_max, что гарантирует |sin θe| &gt; 0,9 и исключает работу вблизи сингулярностей.</w:t>
      </w:r>
    </w:p>
    <w:p>
      <w:pPr>
        <w:pStyle w:val="Heading3"/>
        <w:spacing w:after="100" w:before="220"/>
      </w:pPr>
      <w:r>
        <w:t xml:space="preserve">2.1.7 Статический момент и грузоподъёмность</w:t>
      </w:r>
    </w:p>
    <w:p>
      <w:pPr>
        <w:spacing w:after="140" w:line="276"/>
      </w:pPr>
      <w:r>
        <w:t xml:space="preserve">Кинематика (2.1.1–2.1.6) описывает, куда манипулятор может дотянуться, но не какую массу он способен удержать. Худший случай по нагрузке на сустав плеча — рука вытянута горизонтально (θs = 0), тогда весь вес товара массой m создаёт момент: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τ_required = m · g · L1 · cos(θs)     [Н·м],   максимум при θs = 0</w:t>
      </w:r>
    </w:p>
    <w:p>
      <w:pPr>
        <w:spacing w:after="140" w:line="276"/>
      </w:pPr>
      <w:r>
        <w:t xml:space="preserve">Для L1 = 210 мм и типового среднего хобби-сервопривода с паспортным моментом порядка 11 кгс·см (≈1,08 Н·м) предельная масса товара, которую сустав плеча способен удержать в статике при полностью вытянутой руке: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m_limit = τ_servo / (g · L1) ≈ 1,08 / (9,81 · 0,210) ≈ 0,52 кг (524 г)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5. Требуемый момент в плече в зависимости от массы товара против паспортного момента сервопривода.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Это количественно обосновывает переход к идеальному приводу в разделе 2.8, а не декларативное «сервопривод слабый»: для лёгких товаров (до ~500 г) хобби-сервопривод прототипа отрабатывает с запасом; для товаров, приближающихся к максимальному габариту 450×320×320 мм, реальная масса, как правило, требует привода промышленного класса.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2.2 Алгоритмическая часть: определение и классификация товара</w:t>
      </w:r>
    </w:p>
    <w:p>
      <w:pPr>
        <w:pStyle w:val="Heading3"/>
        <w:spacing w:after="100" w:before="220"/>
      </w:pPr>
      <w:r>
        <w:t xml:space="preserve">2.2.1 Общая схема обработки</w:t>
      </w:r>
    </w:p>
    <w:p>
      <w:pPr>
        <w:spacing w:after="140" w:line="276"/>
      </w:pPr>
      <w:r>
        <w:t xml:space="preserve">Классификация выполняется в порядке, заданном постановкой: сначала габаритный фильтр, затем проверка формы. Полная цепочка обработки одного товара:</w:t>
      </w:r>
    </w:p>
    <w:p>
      <w:pPr>
        <w:spacing w:after="60"/>
      </w:pPr>
      <w:r>
        <w:t xml:space="preserve">1. Синхронный захват кадров с трёх камер по внешнему триггеру от фотобарьера.</w:t>
      </w:r>
    </w:p>
    <w:p>
      <w:pPr>
        <w:spacing w:after="60"/>
      </w:pPr>
      <w:r>
        <w:t xml:space="preserve">2. Сегментация силуэта в каждом кадре вычитанием фона.</w:t>
      </w:r>
    </w:p>
    <w:p>
      <w:pPr>
        <w:spacing w:after="60"/>
      </w:pPr>
      <w:r>
        <w:t xml:space="preserve">3. Восстановление объёмной геометрии пересечением силуэтов (визуальная оболочка).</w:t>
      </w:r>
    </w:p>
    <w:p>
      <w:pPr>
        <w:spacing w:after="60"/>
      </w:pPr>
      <w:r>
        <w:t xml:space="preserve">4. Вычисление ориентированного ограничивающего параллелепипеда (OBB) и габаритов в собственных осях товара.</w:t>
      </w:r>
    </w:p>
    <w:p>
      <w:pPr>
        <w:spacing w:after="60"/>
      </w:pPr>
      <w:r>
        <w:t xml:space="preserve">5. Габаритный фильтр: сравнение с допустимым диапазоном.</w:t>
      </w:r>
    </w:p>
    <w:p>
      <w:pPr>
        <w:spacing w:after="60"/>
      </w:pPr>
      <w:r>
        <w:t xml:space="preserve">6. Проверка формы: вычисление K по сечениям, перпендикулярным собственным осям.</w:t>
      </w:r>
    </w:p>
    <w:p>
      <w:pPr>
        <w:spacing w:after="60"/>
      </w:pPr>
      <w:r>
        <w:t xml:space="preserve">7. Отнесение к категории с учётом приоритета правил и серых зон у порогов.</w:t>
      </w:r>
    </w:p>
    <w:p>
      <w:pPr>
        <w:spacing w:after="60"/>
      </w:pPr>
      <w:r>
        <w:t xml:space="preserve">8. Формирование результата: зона назначения, уверенность, поза захвата для манипулятора.</w:t>
      </w:r>
    </w:p>
    <w:p>
      <w:pPr>
        <w:pStyle w:val="Heading3"/>
        <w:spacing w:after="100" w:before="220"/>
      </w:pPr>
      <w:r>
        <w:t xml:space="preserve">2.2.2 Восстановление геометрии: визуальная оболочка</w:t>
      </w:r>
    </w:p>
    <w:p>
      <w:pPr>
        <w:spacing w:after="140" w:line="276"/>
      </w:pPr>
      <w:r>
        <w:t xml:space="preserve">Геометрия товара восстанавливается методом пересечения силуэтов (space carving). Каждая камера k задаёт проекцию P_k, переводящую точку мирового пространства в пиксель кадра; сегментированный силуэт S_k — бинарная маска, где единица означает «здесь товар». Рабочий объём дискретизируется вокселями с шагом Δ. Воксель с центром p принадлежит оболочке тогда и только тогда, когда его проекция попадает внутрь силуэта во всех камерах одновременно: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V(p) = 1   ⟺   ∀k ∈ {1..N}: S_k(P_k(p)) = 1</w:t>
      </w:r>
    </w:p>
    <w:p>
      <w:pPr>
        <w:spacing w:after="140" w:line="276"/>
      </w:pPr>
      <w:r>
        <w:t xml:space="preserve">Геометрический смысл: каждый силуэт задаёт обобщённый конус обратного проецирования, и оболочка есть пересечение всех конусов. Итоговое облако точек — поверхностные воксели оболочки. Ключевое свойство метода: визуальная оболочка всегда содержит истинный объект и не воспроизводит вогнутости, невидимые ни с одной камеры. Для габаритных измерений это преимущество; для критерия формы — источник систематического смещения (раздел 2.2.6).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Почему выбрана оболочка, а не лазерная триангуляция: силуэт различает только «непрозрачно/прозрачно» и нечувствителен к цвету и фактуре поверхности — это снимает основную слабость лазерных методов на чёрных матовых, глянцевых и зеркальных упаковках.</w:t>
      </w:r>
    </w:p>
    <w:p>
      <w:pPr>
        <w:pStyle w:val="Heading3"/>
        <w:spacing w:after="100" w:before="220"/>
      </w:pPr>
      <w:r>
        <w:t xml:space="preserve">2.2.3 Габаритный фильтр: ориентированный ограничивающий параллелепипед</w:t>
      </w:r>
    </w:p>
    <w:p>
      <w:pPr>
        <w:spacing w:after="140" w:line="276"/>
      </w:pPr>
      <w:r>
        <w:t xml:space="preserve">Габариты измеряются в собственных осях товара, а не в осях конвейера: коробка 300×300 мм под 45° к направлению движения при измерении по осям ленты дала бы ложную ширину 300·√2 ≈ 424 мм и была бы ошибочно отнесена к негабариту. Собственные оси находятся методом главных компонент по облаку точек (p̄ — центр масс):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C = (1/n) · Σ (p_i − p̄)(p_i − p̄)ᵀ</w:t>
      </w:r>
    </w:p>
    <w:p>
      <w:pPr>
        <w:spacing w:after="140" w:line="276"/>
      </w:pPr>
      <w:r>
        <w:t xml:space="preserve">Собственные векторы C образуют матрицу поворота R в собственные оси товара; габариты — размах проекций облака на эти оси: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q_i = R·(p_i − p̄)          L_j = max_i q_ij − min_i q_ij,  j=1,2,3</w:t>
      </w:r>
    </w:p>
    <w:p>
      <w:pPr>
        <w:spacing w:after="140" w:line="276"/>
      </w:pPr>
      <w:r>
        <w:t xml:space="preserve">PCA даёт хорошее начальное приближение, но не гарантирует минимальный объём, поэтому оси уточняются перебором поворотов вокруг каждой из них (шаг 1°, затем 0,1°) с выбором ориентации минимального объёма. Отсортированные габариты (L≥W≥H) сравниваются с допустимыми: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негабарит  ⟺  min(L,W,H) ≤ 10   ИЛИ   (L&gt;450 ИЛИ W&gt;320 ИЛИ H&gt;320)</w:t>
      </w:r>
    </w:p>
    <w:p>
      <w:pPr>
        <w:pStyle w:val="Heading3"/>
        <w:spacing w:after="100" w:before="220"/>
      </w:pPr>
      <w:r>
        <w:t xml:space="preserve">2.2.4 Критерий «круг в сечении»: корректная формулировка</w:t>
      </w:r>
    </w:p>
    <w:p>
      <w:pPr>
        <w:spacing w:after="140" w:line="276"/>
      </w:pPr>
      <w:r>
        <w:t xml:space="preserve">Прямая реализация критерия K = rвпис/Rопис &gt; 0,8 содержит две ловушки.</w:t>
      </w:r>
    </w:p>
    <w:p>
      <w:pPr>
        <w:spacing w:after="140" w:line="276"/>
      </w:pPr>
      <w:r>
        <w:t xml:space="preserve">Ловушка 1 — произвольная ориентация секущей плоскости. Сечение куба плоскостью, перпендикулярной пространственной диагонали, даёт правильный шестиугольник: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K_шестиугольник = cos(30°) = √3/2 ≈ 0,866   &gt;   0,8</w:t>
      </w:r>
    </w:p>
    <w:p>
      <w:pPr>
        <w:spacing w:after="140" w:line="276"/>
      </w:pPr>
      <w:r>
        <w:t xml:space="preserve">То есть любой куб формально попадает в категорию «круглый». Корректное сечение того же куба перпендикулярно его собственной оси — квадрат: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K_квадрат = (a/2) / (a·√2/2) = 1/√2 ≈ 0,707   &lt;   0,8</w:t>
      </w:r>
    </w:p>
    <w:p>
      <w:pPr>
        <w:spacing w:after="140" w:line="276"/>
      </w:pPr>
      <w:r>
        <w:t xml:space="preserve">Решение: секущие плоскости строятся строго перпендикулярно собственным осям товара (найденным на шаге OBB), что устраняет зависимость результата от случайной ориентации объекта на ленте.</w:t>
      </w:r>
    </w:p>
    <w:p>
      <w:pPr>
        <w:spacing w:after="140" w:line="276"/>
      </w:pPr>
      <w:r>
        <w:t xml:space="preserve">Ловушка 2 — вырожденные сечения: срез вблизи торца любого гладкого выпуклого тела стягивается в точку, и K формально стремится к единице. Решение: сечение учитывается только если площадь ≥10% от максимальной площади сечения по данной оси, и Rопис ≥ 3 мм. Итоговая формулировка: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K_max = max{K(σ): σ∈Σ, area(σ)≥0,10·area_max, R(σ)≥3мм},   Σ — сечения ⟂ собственным осям, шаг 3мм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категория D  ⟺  K_max &gt; K_порог</w:t>
      </w:r>
    </w:p>
    <w:p>
      <w:pPr>
        <w:pStyle w:val="Heading3"/>
        <w:spacing w:after="100" w:before="220"/>
      </w:pPr>
      <w:r>
        <w:t xml:space="preserve">2.2.5 Вычисление вписанной и описанной окружностей</w:t>
      </w:r>
    </w:p>
    <w:p>
      <w:pPr>
        <w:spacing w:after="140" w:line="276"/>
      </w:pPr>
      <w:r>
        <w:t xml:space="preserve">Описанная окружность — наименьшая окружность, содержащая все вершины контура (алгоритм Вельцля, O(n) при случайном порядке обхода, порядок фиксируется псевдослучайной перестановкой с постоянным зерном для детерминированности). Вписанная окружность вычисляется бинарным поиском по радиусу через морфологическое сжатие контура: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r_впис = max{ρ: erode(σ,ρ) ≠ ∅},   бинарный поиск, 24 итерации</w:t>
      </w:r>
    </w:p>
    <w:p>
      <w:pPr>
        <w:spacing w:after="140" w:line="276"/>
      </w:pPr>
      <w:r>
        <w:t xml:space="preserve">Отверстия учитываются отдельно (например, у тарелки центральное отверстие корректно уменьшает вписанную окружность); мелкие артефакты сегментации (менее 2% площади контура) отфильтровываются, иначе случайные разрывы маски схлопывали бы вписанную окружность в ноль.</w:t>
      </w:r>
    </w:p>
    <w:p>
      <w:pPr>
        <w:pStyle w:val="Heading3"/>
        <w:spacing w:after="100" w:before="220"/>
      </w:pPr>
      <w:r>
        <w:t xml:space="preserve">2.2.6 Систематическое смещение оболочки и сдвиг порога</w:t>
      </w:r>
    </w:p>
    <w:p>
      <w:pPr>
        <w:spacing w:after="140" w:line="276"/>
      </w:pPr>
      <w:r>
        <w:t xml:space="preserve">Порог 0,8 задан постановкой для истинной геометрии тела. Визуальная оболочка скругляет углы и потому систематически завышает K. Величина смещения оценена численным моделированием: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Тело</w:t>
            </w:r>
          </w:p>
        </w:tc>
        <w:tc>
          <w:tcPr>
            <w:tcW w:type="dxa" w:w="2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Истинное K</w:t>
            </w:r>
          </w:p>
        </w:tc>
        <w:tc>
          <w:tcPr>
            <w:tcW w:type="dxa" w:w="2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 по оболочке</w:t>
            </w:r>
          </w:p>
        </w:tc>
        <w:tc>
          <w:tcPr>
            <w:tcW w:type="dxa" w:w="2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Смещение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Куб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0,707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0,773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+0,066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Короб 300×200×150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0,605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0,678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+0,073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Цилиндр (круглый)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0,000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Мяч (круглый)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0,961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−0,003</w:t>
            </w:r>
          </w:p>
        </w:tc>
      </w:tr>
    </w:tbl>
    <w:p>
      <w:pPr>
        <w:spacing w:after="140" w:line="276"/>
      </w:pPr>
      <w:r>
        <w:t xml:space="preserve">Смещение проявляется на телах с рёбрами (+0,07) и практически отсутствует на телах вращения, которые и так круглые — это худший из возможных вариантов: смещение сдвигает именно некруглые объекты в сторону порога. Принятое решение — рабочий порог для измерения по оболочке сдвигается на величину систематического смещения: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K_порог = 0,80 + 0,07 = 0,87   (измерение по визуальной оболочке)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K_порог = 0,80                  (измерение по истинной поверхности)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Ограничение метода: на телах с выраженными вогнутостями смещение существенно больше (для тарелки +0,24). В рассмотренном наборе это не приводит к ошибке классификации, но при расширении номенклатуры товаров вогнутыми формами требуется либо контроль вторым независимым методом, либо уход такого товара на ручной разбор.</w:t>
      </w:r>
    </w:p>
    <w:p>
      <w:pPr>
        <w:pStyle w:val="Heading3"/>
        <w:spacing w:after="100" w:before="220"/>
      </w:pPr>
      <w:r>
        <w:t xml:space="preserve">2.2.7 Обработка неоднозначных и краевых случаев</w:t>
      </w:r>
    </w:p>
    <w:p>
      <w:pPr>
        <w:spacing w:after="140" w:line="276"/>
      </w:pPr>
      <w:r>
        <w:t xml:space="preserve">Логика построена на несимметричности цены ошибки: пропуск негабаритного товара в сортировщик вызывает затор и ручное вмешательство; ошибочный вывод годного товара стоит нескольких секунд ручной обработки. Соотношение цены ошибок оценивается как два порядка, поэтому во всех неоднозначных ситуациях решение принимается в пользу вывода из потока.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3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 обнаружения</w:t>
            </w:r>
          </w:p>
        </w:tc>
        <w:tc>
          <w:tcPr>
            <w:tcW w:type="dxa" w:w="3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Габарит у порога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отклонение ≤ допуска измерения (5мм)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консервативно в 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 у порога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|K−K_порог| ≤ 0,03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консервативно в 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Мягкая упаковка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классификатор типа упаковки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только габаритный фильтр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Два товара слиплись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два кластера либо габарит &gt;500мм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ручной разбор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Товар не измерился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число точек облака &lt; порога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ручной разбор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Товар катится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|v_объекта−v_ленты|/v_ленты &gt; 15%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ручной разбор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Рука недостижима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нарушено условие раздела 2.1.3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ручной разбор</w:t>
            </w:r>
          </w:p>
        </w:tc>
      </w:tr>
    </w:tbl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Соответствие требованию «ровно одна из трёх категорий»: ветка низкой уверенности — внутреннее состояние алгоритма, а не четвёртая категория. Физически такие товары направляются в зону D, где предусмотрена ручная обработка перед доупаковкой.</w:t>
      </w:r>
    </w:p>
    <w:p>
      <w:pPr>
        <w:pStyle w:val="Heading3"/>
        <w:spacing w:after="100" w:before="220"/>
      </w:pPr>
      <w:r>
        <w:t xml:space="preserve">2.2.8 Псевдокод классификатора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ВХОД: облако точек P, источник измерения src, трек позиций T
если |P| &lt; N_min:                     вернуть (R, "мало точек", conf=0)
# 1. габариты в собственных осях товара
R_обб, (L,W,H) ← OBB_через_PCA(P) с уточнением по объёму
dims ← сортировать_по_убыванию(L,W,H)
# 2. приоритет правил: сначала габариты
если min(dims) ≤ 10 или dims нарушает 450×320×320:
        вернуть (C, "негабарит", conf=1)
если dims у порога в пределах допуска 5 мм:
        вернуть (C, "серая зона габарита", conf=0.6)
# 3. форма: сечения перпендикулярно собственным осям
K_max ← 0
для оси j из {1,2,3}:
    для среза σ вдоль оси j с шагом 3 мм:
        если area(σ)&lt;0.10·area_max или R(σ)&lt;3мм: пропустить
        K ← r_впис(σ) / R_опис(σ);  K_max ← max(K_max, K)
K_порог ← 0.87 если src="оболочка" иначе 0.80
если K_max &gt; K_порог:           вернуть (D, "круг в сечении", conf=1)
если |K_max−K_порог| ≤ 0.03:    вернуть (D, "серая зона формы", conf=0.6)
# 4. проверка укатывания по треку позиций
если |v_объекта−v_ленты|/v_ленты &gt; 0.15:
        вернуть (R, "товар катится", conf=0.5)
вернуть (B, "годный", conf=1)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2.3 Синхронизация по времени и трекинг товара</w:t>
      </w:r>
    </w:p>
    <w:p>
      <w:pPr>
        <w:spacing w:after="140" w:line="276"/>
      </w:pPr>
      <w:r>
        <w:t xml:space="preserve">Ключевая сложность на стыке алгоритмической и исполнительной частей — товар движется, а решение принимается не мгновенно. Задача решается привязкой положения товара не к времени, а к пройденному пути ленты, измеряемому энкодером: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k = π·D / N   [мм/тик]      x(E) = x0 + (E − E0)·k</w:t>
      </w:r>
    </w:p>
    <w:p>
      <w:pPr>
        <w:spacing w:after="140" w:line="276"/>
      </w:pPr>
      <w:r>
        <w:t xml:space="preserve">где D — диаметр вала с энкодером, N — тиков на оборот, E0 — показание энкодера в момент пересечения товаром фотобарьера. Такой способ устойчив к проскальзыванию ленты и колебаниям скорости привода.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Энкодер устанавливается на ведомом (натяжном) валу, а не на валу мотора: энкодер на моторе измеряет намерение привода, а не результат, и при проскальзывании ленты показания расходятся с реальным перемещением товара.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3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Сегментация силуэтов трёх кадров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10–30 мс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Воксельное вырезание оболочки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40–120 мс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OBB и вычисление K по сечениям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10–30 мс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Обратная кинематика и формирование команды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&lt; 5 мс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Передача по Serial и реакция контроллера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30–70 мс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Итого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90–255 мс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Транспортный запас (съёмка → воздействие, 1 м/с)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2000–3000 мс</w:t>
            </w:r>
          </w:p>
        </w:tc>
      </w:tr>
    </w:tbl>
    <w:p>
      <w:pPr>
        <w:spacing w:after="140" w:line="276"/>
      </w:pPr>
      <w:r>
        <w:t xml:space="preserve">Запас по времени — примерно десятикратный. При 1 м/с задержка 250 мс соответствует сносу товара на 250 мм, что делает невозможной схему «увидел — сразу воздействовал»: решение принимается заранее, исполнение привязывается к показанию энкодера.</w:t>
      </w:r>
    </w:p>
    <w:p>
      <w:pPr>
        <w:pStyle w:val="Heading3"/>
        <w:spacing w:after="100" w:before="220"/>
      </w:pPr>
      <w:r>
        <w:t xml:space="preserve">2.3.1 Механика перехода в буфер и вместимость буфера</w:t>
      </w:r>
    </w:p>
    <w:p>
      <w:pPr>
        <w:spacing w:after="140" w:line="276"/>
      </w:pPr>
      <w:r>
        <w:t xml:space="preserve">Переход со сновной линии в буфер выполняется гравитационным лотком/скатом. Товар соскальзывает под собственным весом, если угол наклона α превышает угол трения покоя относительно коэффициента трения μ: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tan(α) &gt; μ      →      α &gt; arctan(μ)</w:t>
      </w:r>
    </w:p>
    <w:p>
      <w:pPr>
        <w:spacing w:after="140" w:line="276"/>
      </w:pPr>
      <w:r>
        <w:t xml:space="preserve">Для типичных пар «картон/пластик по окрашенному листовому металлу» μ≈0,3–0,5, то есть требуемый угол — не менее 17–27°; на практике рекомендуется закладывать угол ≥30° с запасом на разброс поверхностей товаров.</w:t>
      </w:r>
    </w:p>
    <w:p>
      <w:pPr>
        <w:spacing w:after="140" w:line="276"/>
      </w:pPr>
      <w:r>
        <w:t xml:space="preserve">Буфер реализован как линия на 5 физических мест, а не одна точка — запас по времени на случай, если несколько товаров C/D придут подряд быстрее, чем манипулятор успевает их разобрать. Условие устойчивости очереди (интенсивность прихода λ меньше интенсивности обслуживания μ=1/T_цикл):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λ &lt; μ = 1 / T_цикл      ⇔      t_between_C/D  &gt;  T_цикл</w:t>
      </w:r>
    </w:p>
    <w:p>
      <w:pPr>
        <w:spacing w:after="140" w:line="276"/>
      </w:pPr>
      <w:r>
        <w:t xml:space="preserve">Даже при кратковременном нарушении условия (пачка из нескольких товаров подряд) буфер на 5 мест даёт запас времени до переполнения: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t_overflow ≈ N_slots·t_between_C/D − N_slots·T_цикл   (при λ&gt;μ, грубая оценка)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6. Модельная реализация заполнения буфера (пуассоновский поток C/D-товаров, T_цикл=1,9с, средний интервал 2,6с) — буфер на 5 мест поглощает случайные пачки без переполнения.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2.4 Архитектура ПО и связь с электроникой</w:t>
      </w:r>
    </w:p>
    <w:p>
      <w:pPr>
        <w:spacing w:after="140" w:line="276"/>
      </w:pPr>
      <w:r>
        <w:t xml:space="preserve">Комплекс построен на двух вычислительных узлах с чётким разделением ответственности: Raspberry Pi отвечает за смысл (что за товар и куда его), Arduino — за время (когда действовать и как крутить приводы).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Raspberry Pi — три потока: grabber (захват кадров), reader (неблокирующее чтение Serial → очередь), worker (зрение, кинематика, формирование команд). Разделение чтения и вычислений исключает потерю SHOOT в момент занятости Pi расчётом облака точек.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Arduino — неблокирующий конечный автомат: IDLE → MOVE_PICK → WAIT_GRIP_CLOSE → MOVE_LIFT → MOVE_DROP → WAIT_GRIP_OPEN → MOVE_HOME → IDLE; посимвольное чтение Serial; сигнал фотобарьера через прерывание с антидребезгом 300мс.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Протокол: Arduino→Pi — SHOOT;id=N и DONE;id=N; Pi→Arduino — SEQ;id=N;zone=..;pk=..;lf=..;dp=.. Товары зоны B команду не получают вовсе.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Защита «рука занята»: конечный автомат Arduino игнорирует новый SEQ, пока не в IDLE; на Pi — флаг arm_busy с таймаутом на случай потери DONE.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7. Архитектура ПАК: потоки Raspberry Pi, конечный автомат Arduino, протокол SHOOT/SEQ/DONE.</w:t>
      </w:r>
    </w:p>
    <w:p>
      <w:pPr>
        <w:spacing w:after="140" w:line="276"/>
      </w:pPr>
      <w:r>
        <w:t xml:space="preserve">Формат команды перекладки содержит три опорные точки — тройки углов приводов, вычисленных обратной кинематикой на стороне Pi: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SEQ;id=N;zone=C;pk=b,s,e;lf=b,s,e;dp=b,s,e</w:t>
      </w:r>
    </w:p>
    <w:p>
      <w:pPr>
        <w:spacing w:after="140" w:line="276"/>
      </w:pPr>
      <w:r>
        <w:t xml:space="preserve">pk — точка захвата, lf — точка безопасного подъёма над буфером, dp — точка сброса в тару соответствующей категории. Вынесение кинематики на Pi оставляет прошивку контроллера предельно простой и детерминированной по времени.</w:t>
      </w:r>
    </w:p>
    <w:p>
      <w:pPr>
        <w:pStyle w:val="Heading2"/>
        <w:spacing w:after="120" w:before="280"/>
      </w:pPr>
      <w:r>
        <w:t xml:space="preserve">2.5 Конфигурация системы</w:t>
      </w:r>
    </w:p>
    <w:p>
      <w:pPr>
        <w:spacing w:after="140" w:line="276"/>
      </w:pPr>
      <w:r>
        <w:t xml:space="preserve">Все параметры, зависящие от конкретного железа, вынесены в конфигурационные блоки и не требуют изменения кода при перенастройке.</w:t>
      </w:r>
    </w:p>
    <w:p>
      <w:pPr>
        <w:pStyle w:val="Heading3"/>
        <w:spacing w:after="100" w:before="220"/>
      </w:pPr>
      <w:r>
        <w:t xml:space="preserve">2.5.1 Системы координат и преобразования между ними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00"/>
      </w:tblGrid>
      <w:tr>
        <w:trPr>
          <w:tblHeader/>
        </w:trPr>
        <w:tc>
          <w:tcPr>
            <w:tcW w:type="dxa" w:w="3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3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Начало отсчёта</w:t>
            </w:r>
          </w:p>
        </w:tc>
        <w:tc>
          <w:tcPr>
            <w:tcW w:type="dxa" w:w="3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Где используется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Координаты зрения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центр рабочего объёма измерения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габариты, K, поза захвата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Координаты ленты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точка фотобарьера, ось вдоль движения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трекинг положения товара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Координаты манипулятора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ось поворота основания на уровне стола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обратная кинематика, точки pk/lf/dp</w:t>
            </w:r>
          </w:p>
        </w:tc>
      </w:tr>
    </w:tbl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x_arm = x_vision + OFFSET_X     y_arm = y_vision + OFFSET_Y     z_arm = z_top + OFFSET_Z</w:t>
      </w:r>
    </w:p>
    <w:p>
      <w:pPr>
        <w:pStyle w:val="Heading3"/>
        <w:spacing w:after="100" w:before="220"/>
      </w:pPr>
      <w:r>
        <w:t xml:space="preserve">2.5.2 Параметры измерительного тракта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type="dxa" w:w="2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Число камер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(сверху + 2 боковые)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минимально достаточно для оболочки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Азимут боковых камер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±55° к оси ленты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50-70°: меньше — дублирование, больше — вдоль ленты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Разрешение на объекте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0,5 мм/пиксель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порог 10мм различается как 20 пикселей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Тип затвора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глобальный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кадровый затвор искажает движущийся объект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Синхронизация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импульс подсветки 200-300мкс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единый момент экспозиции всем камерам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Подсветка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на просвет, светодиодная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силуэт нечувствителен к цвету/фактуре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Шаг вокселя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компромисс точность/время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Шаг сечений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до 60 сечений на ось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Энкодер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ведомый вал, 2 канала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измеряет фактический путь ленты</w:t>
            </w:r>
          </w:p>
        </w:tc>
      </w:tr>
    </w:tbl>
    <w:p>
      <w:pPr>
        <w:pStyle w:val="Heading3"/>
        <w:spacing w:after="100" w:before="220"/>
      </w:pPr>
      <w:r>
        <w:t xml:space="preserve">2.5.3 Параметры классификатора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00"/>
      </w:tblGrid>
      <w:tr>
        <w:trPr>
          <w:tblHeader/>
        </w:trPr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Смысл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Допустимые габариты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10×10×10…450×320×320мм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задано постановкой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K_порог (оболочка)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0,87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0,80 + поправка на смещение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K_порог (поверхность)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задано постановкой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Допуск габаритов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согласовано с организаторами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Серая зона 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±0,03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консервативно в пользу вывода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Мин. площадь сечения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10% от максимальной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фильтр вырожденных срезов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Мин. радиус сечения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фильтр вырожденных срезов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Порог укатывания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15% расхождения скорости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детектор нештатной ситуации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Порог уверенности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ниже — ручной разбор</w:t>
            </w:r>
          </w:p>
        </w:tc>
      </w:tr>
    </w:tbl>
    <w:p>
      <w:pPr>
        <w:pStyle w:val="Heading3"/>
        <w:spacing w:after="100" w:before="220"/>
      </w:pPr>
      <w:r>
        <w:t xml:space="preserve">2.5.4 Параметры исполнительной части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00"/>
      </w:tblGrid>
      <w:tr>
        <w:trPr>
          <w:tblHeader/>
        </w:trPr>
        <w:tc>
          <w:tcPr>
            <w:tcW w:type="dxa" w:w="3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8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Прототип</w:t>
            </w:r>
          </w:p>
        </w:tc>
        <w:tc>
          <w:tcPr>
            <w:tcW w:type="dxa" w:w="3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Степени свободы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 + схват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основание, плечо, локоть, схват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L1 / L2 / H0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210 / 146 / 178 мм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промер STL-моделей звеньев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R_min / R_max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64 / 356 мм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|L1−L2| и L1+L2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r_opt (манипулируемость)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255,8 мм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√(L1²+L2²), см. 2.1.5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Момент сервопривода / предел массы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≈1,08 Н·м / ≈524 г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см. 2.1.7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Шаг интерполяции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3° за шаг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STEP_SPEED в прошивке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Период шага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 мс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SERVO_STEP_MS ⇒ ω≈200°/с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Пауза схвата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300мс на закрытие/раскрытие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фиксировано в прошивке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Антидребезг барьера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300 мс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исключает многократное срабатывание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Таймаут «рука занята»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 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страховка от потери DONE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Вместимость буфера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 мест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запас устойчивости очереди, см. 2.3.1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t xml:space="preserve">2.6 Бюджет погрешности измерения габаритов</w:t>
      </w:r>
    </w:p>
    <w:p>
      <w:pPr>
        <w:spacing w:after="140" w:line="276"/>
      </w:pPr>
      <w:r>
        <w:t xml:space="preserve">Организаторами задан допуск 5мм на линейный размер. Разложение суммарной погрешности измерительного тракта по независимым источникам (составляющие независимы, суммируются среднеквадратично):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Источник погрешности</w:t>
            </w:r>
          </w:p>
        </w:tc>
        <w:tc>
          <w:tcPr>
            <w:tcW w:type="dxa" w:w="3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Вклад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Разрешение сенсора (0,5мм/пиксель, ±1px)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0,50 мм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Погрешность сегментации силуэта (±2px)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1,00 мм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Погрешность калибровки камер (0,2° на плече 500мм)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1,75 мм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Воксельная дискретизация (шаг 3мм)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1,50 мм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Суммарная погрешность (СКО)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2,56 мм</w:t>
            </w:r>
          </w:p>
        </w:tc>
      </w:tr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Запас до допуска 5мм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2,44 мм</w:t>
            </w:r>
          </w:p>
        </w:tc>
      </w:tr>
    </w:tbl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σ_Σ = √(0,50² + 1,00² + 1,75² + 1,50²) ≈ 2,56 мм   &lt;   5 мм</w:t>
      </w:r>
    </w:p>
    <w:p>
      <w:pPr>
        <w:spacing w:after="140" w:line="276"/>
      </w:pPr>
      <w:r>
        <w:t xml:space="preserve">Тракт укладывается в допуск с запасом около двух миллиметров. Доминирующий вклад вносит калибровка камер, поэтому именно она критична при развёртывании (точность взаимной калибровки — не хуже 0,2°). Для контроля дрейфа в поле зрения размещается эталонная метка известного размера.</w:t>
      </w:r>
    </w:p>
    <w:p>
      <w:pPr>
        <w:pStyle w:val="Heading2"/>
        <w:spacing w:after="120" w:before="280"/>
      </w:pPr>
      <w:r>
        <w:t xml:space="preserve">2.7 Расчёты для прототипа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00"/>
      </w:tblGrid>
      <w:tr>
        <w:trPr>
          <w:tblHeader/>
        </w:trPr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L1 (плечо)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≈210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bounding box 256мм минус приливы под серво (~24мм с каждой стороны)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L2 (предплечье)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≈146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bounding box 192мм минус приливы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≈178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высота базы (84мм) + турели (94мм)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R_min / R_max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64 / 356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|L1−L2| и L1+L2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r_opt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255,8 мм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√(L1²+L2²), 71,8% от R_max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Привод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хобби-сервопривод, ШИМ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STEP_SPEED=3°, шаг 15мс ⇒ ω≈200°/с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8–9. Зона досягаемости и модель cycle time по фазам конечного автомата (прототип ≈1,8с/товар).</w:t>
      </w:r>
    </w:p>
    <w:p>
      <w:pPr>
        <w:spacing w:after="140" w:line="276"/>
      </w:pPr>
      <w:r>
        <w:t xml:space="preserve">Модель времени цикла: длительность фазы определяется наибольшим угловым ходом среди приводов (шагают одновременно):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T_move(Δθ) = ceil(Δθ_max/STEP_SPEED)·SERVO_STEP_MS,   Δθ_max=max(|Δθb|,|Δθs|,|Δθe|)</w:t>
      </w:r>
    </w:p>
    <w:p>
      <w:pPr>
        <w:spacing w:after="120" w:before="100"/>
        <w:ind w:left="431"/>
      </w:pPr>
      <w:r>
        <w:rPr>
          <w:rFonts w:ascii="Consolas" w:cs="Consolas" w:eastAsia="Consolas" w:hAnsi="Consolas"/>
          <w:color w:val="1F3B63"/>
          <w:sz w:val="20"/>
          <w:szCs w:val="20"/>
        </w:rPr>
        <w:t xml:space="preserve">T_цикл = T_move(home→pick)+T_grip+T_move(pick→lift)+T_move(lift→drop)+T_grip+T_move(drop→home)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Пропускная способность как ограничение архитектуры: манипулятор обслуживает только категории C и D, товары зоны B проходят линию без участия руки. При цикле 1,8с рука обслуживает не более ≈0,55 товара в секунду — товары, приехавшие в момент занятости, уводятся на ручной разбор (см. 2.3.1 про буфер).</w:t>
      </w:r>
    </w:p>
    <w:p>
      <w:r>
        <w:br w:type="page"/>
      </w:r>
    </w:p>
    <w:p>
      <w:pPr>
        <w:pStyle w:val="Heading2"/>
        <w:spacing w:after="120" w:before="280"/>
      </w:pPr>
      <w:r>
        <w:t xml:space="preserve">2.8 Расчёты для идеальной модели и обоснование выбора параметров</w:t>
      </w:r>
    </w:p>
    <w:p>
      <w:pPr>
        <w:spacing w:after="140" w:line="276"/>
      </w:pPr>
      <w:r>
        <w:t xml:space="preserve">Масштаб целевой системы выбран по классу серийных промышленных/коллаборативных манипуляторов с рабочим радиусом 0,8–1,2м, с сохранением пропорции L1:L2≈1,4: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200"/>
        <w:gridCol w:w="3500"/>
      </w:tblGrid>
      <w:tr>
        <w:trPr>
          <w:tblHeader/>
        </w:trPr>
        <w:tc>
          <w:tcPr>
            <w:tcW w:type="dxa" w:w="1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7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Прототип</w:t>
            </w:r>
          </w:p>
        </w:tc>
        <w:tc>
          <w:tcPr>
            <w:tcW w:type="dxa" w:w="2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Идеальная система</w:t>
            </w:r>
          </w:p>
        </w:tc>
        <w:tc>
          <w:tcPr>
            <w:tcW w:type="dxa" w:w="35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L1 / L2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210/146 мм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650/500 мм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покрывает буфер→тара с запасом, пропорция сохранена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178 мм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400 мм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клиренс над тарой 800мм при развороте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R_min / R_max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64/356 мм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150/1150 мм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мёртвая зона исключена; запас от полного вылета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r_opt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255,8 мм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820,1 мм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√(L1²+L2²); в обоих случаях ≈71–72% от R_max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Привод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хобби-сервопривод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пром. привод/электроцилиндр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момент под груз до 450×320×320мм, см. 2.1.7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Схват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2-палый фикс.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вакуумный/адаптивный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разнородные формы товара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10. Концептуальная модель идеальной руки (параметрические примитивы, не готовый CAD).</w:t>
      </w:r>
    </w:p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Честная оговорка: формулы кинематики (2.1), критерий классификации (2.2) и модель cycle time (2.7) не меняются при переходе к идеальной системе — меняются только числовые параметры L1, L2, H0 и ω. Инвариантность модели к масштабу — основной результат расчётной части.</w:t>
      </w:r>
    </w:p>
    <w:p>
      <w:pPr>
        <w:pStyle w:val="Heading2"/>
        <w:spacing w:before="80" w:after="80"/>
      </w:pPr>
      <w:r>
        <w:rPr>
          <w:rFonts w:ascii="Calibri" w:hAnsi="Calibri"/>
          <w:b w:val="0"/>
          <w:i w:val="0"/>
          <w:sz w:val="20"/>
        </w:rPr>
        <w:t>2.9 Конвейерный участок: конструкция, привод и расчёт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Подающий конвейер — вторая исполнительная подсистема комплекса наряду с манипулятором. Он задаёт темп потока, несёт измерительный портал и служит физической базой трекинга: именно по его энкодеру отсчитывается положение каждого товара (2.3). Ниже приведены конструкция участка, расчёт привода и проверки, определившие конструктивные решения.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2.9.1 Состав и компоновка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Конвейер выполнен как самостоятельная сборочная единица. Чертёж участка с позициями, спецификацией и техническими требованиями оформлен отдельным материалом (2.14).</w:t>
      </w:r>
    </w:p>
    <w:tbl>
      <w:tblPr>
        <w:tblW w:type="auto" w:w="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Поз.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Узел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Исполнение в прототипе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Рама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брусок 40×40, фанера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несущая база, задаёт параллельность валов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Вал приводной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⌀50 мм, ось 6 мм, обрезинен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передаёт тяговое усилие на ленту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Вал натяжной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⌀50 мм, ось 6 мм, в продольном пазу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натяжение ленты, несёт энкодер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Лента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ПВХ, ширина 150 мм, сшивка внахлёст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транспортирующий орган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Опорная доска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фанера, под верхней ветвью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исключает продавливание ленты товаром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Мотор-редуктор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12 В, драйвер BTS7960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привод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Энкодер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на ведомом валу, 2 канала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измерение фактического пути ленты</w:t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Calibri" w:hAnsi="Calibri"/>
          <w:b w:val="0"/>
          <w:i/>
          <w:color w:val="55626E"/>
          <w:sz w:val="19"/>
        </w:rPr>
        <w:t>Ключевое требование к раме — параллельность осей валов. Перекос вызывает сход ленты вбок, который не устраняется натяжением; контролируется равенством диагоналей рамы при сборке.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2.9.2 Передача крутящего момента: цепочка от мотора до ленты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Момент проходит пять сопряжений, и каждое из них — потенциальное место проскальзывания:</w:t>
      </w:r>
    </w:p>
    <w:p>
      <w:pPr>
        <w:spacing w:before="40" w:after="40"/>
        <w:ind w:left="403"/>
      </w:pPr>
      <w:r>
        <w:rPr>
          <w:rFonts w:ascii="Consolas" w:hAnsi="Consolas"/>
          <w:b w:val="0"/>
          <w:i w:val="0"/>
          <w:color w:val="1F3864"/>
          <w:sz w:val="19"/>
        </w:rPr>
        <w:t>мотор → муфта → ось вала → тело вала → фрикционный контакт → лента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Соединение оси с телом вала выполнено резьбовым: в торце вала сверлится отверстие диаметром меньше номинального, в которое вкручивается резьбовая шпилька М6. Резьба формирует соединение с гарантированным натягом — в отличие от гладкой посадки, которая либо не собирается, либо проворачивается под нагрузкой. Вал мотора соединяется с осью жёсткой муфтой со стопорными винтами; допустима упругая муфта (отрезок армированного шланга на червячных хомутах), которая дополнительно компенсирует несоосность крепления мотора, но ограничена по передаваемому моменту.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2.9.3 Расчёт привода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Тяговое усилие определяется сопротивлением движению ленты по опорной доске под весом товаров; сопротивление в подшипниках качения учтено коэффициентом запаса.</w:t>
      </w:r>
    </w:p>
    <w:p>
      <w:pPr>
        <w:spacing w:before="40" w:after="40"/>
        <w:ind w:left="403"/>
      </w:pPr>
      <w:r>
        <w:rPr>
          <w:rFonts w:ascii="Consolas" w:hAnsi="Consolas"/>
          <w:b w:val="0"/>
          <w:i w:val="0"/>
          <w:color w:val="1F3864"/>
          <w:sz w:val="19"/>
        </w:rPr>
        <w:t>F = μ · (m_тов + m_ленты) · g        M = F · D/2        n = v / (πD)        P = F · v</w:t>
      </w:r>
    </w:p>
    <w:tbl>
      <w:tblPr>
        <w:tblW w:type="auto" w:w="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Параметр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Прототип (1:4)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Целевая система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Диаметр вала 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50 мм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160 мм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Скорость ленты v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0,25 м/с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1,0 м/с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целевая задана постановкой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Масса на ленте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1,5 кг (3 × 0,5)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60 кг (3 × 20)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20 кг — предел по постановке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Тяговое усилие F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5,3 Н → 10,6 Н (запас 2×)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200 Н → 300 Н (запас 1,5×)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μ = 0,30, ПВХ по фанере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Момент на валу M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0,27 Н·м (2,7 кг·см)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24,0 Н·м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 = F · D/2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Обороты вала n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95 об/мин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119 об/мин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 = v/(πD)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Мощность привода P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менее 5 Вт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300 Вт → мотор ~400 Вт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 = F · v</w:t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Для прототипа потребные 2,7 кг·см при 95 об/мин попадают в рабочую точку мотор-редуктора JGB37-520 с передаточным отношением около 1:90: момент такого узла на порядок выше потребного, то есть привод выбран с запасом и не является ограничивающим звеном.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2.9.4 Проверка сцепления ленты с приводным валом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Способность вала тянуть ленту ограничена не моментом мотора, а трением в зоне обхвата. Предельное отношение натяжений ветвей описывается формулой Эйлера:</w:t>
      </w:r>
    </w:p>
    <w:p>
      <w:pPr>
        <w:spacing w:before="40" w:after="40"/>
        <w:ind w:left="403"/>
      </w:pPr>
      <w:r>
        <w:rPr>
          <w:rFonts w:ascii="Consolas" w:hAnsi="Consolas"/>
          <w:b w:val="0"/>
          <w:i w:val="0"/>
          <w:color w:val="1F3864"/>
          <w:sz w:val="19"/>
        </w:rPr>
        <w:t>T₁ / T₂ ≤ e^(μ·α)          F_max = T₂ · ( e^(μ·α) − 1 )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где α — угол обхвата вала лентой (для двухвальной схемы α = π), T₂ — натяжение сбегающей ветви, задаваемое натяжителем (принято 20 Н).</w:t>
      </w:r>
    </w:p>
    <w:tbl>
      <w:tblPr>
        <w:tblW w:type="auto" w:w="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Исполнение вала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μ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e^(μ·α)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Предельная тяга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Запас к потребным 10,6 Н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Гладкий (ПВХ, дерево)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0,25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2,19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23,9 Н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2,3×</w:t>
            </w:r>
          </w:p>
        </w:tc>
      </w:tr>
      <w:tr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Обрезиненный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0,70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9,02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160,3 Н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15,1×</w:t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Расчёт даёт количественное обоснование обязательного обрезинивания приводного вала: гладкий вал сохраняет лишь двукратный запас, исчерпываемый при локальном ослаблении натяжения или загрязнении ленты, тогда как обрезиненный обеспечивает пятнадцатикратный. Натяжитель обязателен конструктивно: без продольного паза под ведомый вал лента не может быть ни установлена, ни натянута до расчётного T₂.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2.9.5 Энкодер: место установки и цена тика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Энкодер устанавливается на ведомом (натяжном) валу, а не на валу мотора. Обоснование приведено в 2.3: датчик на приводе измеряет намерение привода, и при проскальзывании ленты его показания расходятся с фактическим перемещением товара. Цена одного тика и пересчёт положения:</w:t>
      </w:r>
    </w:p>
    <w:p>
      <w:pPr>
        <w:spacing w:before="40" w:after="40"/>
        <w:ind w:left="403"/>
      </w:pPr>
      <w:r>
        <w:rPr>
          <w:rFonts w:ascii="Consolas" w:hAnsi="Consolas"/>
          <w:b w:val="0"/>
          <w:i w:val="0"/>
          <w:color w:val="1F3864"/>
          <w:sz w:val="19"/>
        </w:rPr>
        <w:t>k = πD / N          x(E) = x₀ + (E − E₀) · k</w:t>
      </w:r>
    </w:p>
    <w:tbl>
      <w:tblPr>
        <w:tblW w:type="auto" w:w="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Вариант установки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N, имп/об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k, мм/тик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Запас к допуску 5 мм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Ведомый вал, энкодер 600 имп/об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600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0,262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19×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Вал мотора, 11 имп/об × редуктор 1:90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990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0,159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32×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Целевая система, 1024 имп/об, вал ⌀160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1024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0,491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10×</w:t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Оба варианта дают разрешение на порядок точнее допуска, поэтому выбор определяется не разрешением, а устойчивостью к проскальзыванию. Дополнительная возможность: одновременная установка датчиков на приводном и ведомом валах превращает разность их показаний в прямую метрику проскальзывания ленты и позволяет обнаружить ослабление натяжения раньше, чем оно приведёт к ошибкам маршрутизации.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2.9.6 Отвод товаров C и D: проверка на опрокидывание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Товары категорий C и D снимаются с основной линии отводом. При жёстком боковом воздействии товар опрокидывается, если точка приложения силы выше критической высоты:</w:t>
      </w:r>
    </w:p>
    <w:p>
      <w:pPr>
        <w:spacing w:before="40" w:after="40"/>
        <w:ind w:left="403"/>
      </w:pPr>
      <w:r>
        <w:rPr>
          <w:rFonts w:ascii="Consolas" w:hAnsi="Consolas"/>
          <w:b w:val="0"/>
          <w:i w:val="0"/>
          <w:color w:val="1F3864"/>
          <w:sz w:val="19"/>
        </w:rPr>
        <w:t>h_кр = b / (2·μ)      b — база в направлении толчка,  μ — трение товара о ленту</w:t>
      </w:r>
    </w:p>
    <w:tbl>
      <w:tblPr>
        <w:tblW w:type="auto" w:w="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Товар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База b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h_кр при μ = 0,35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Фактическая высота</w:t>
            </w:r>
          </w:p>
        </w:tc>
        <w:tc>
          <w:tcPr>
            <w:tcW w:type="dxa" w:w="1949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Результат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Низкий широкий, 300×150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300 мм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429 мм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150 мм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устойчив</w:t>
            </w:r>
          </w:p>
        </w:tc>
      </w:tr>
      <w:tr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Высокий узкий, 100×320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100 мм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143 мм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320 мм</w:t>
            </w:r>
          </w:p>
        </w:tc>
        <w:tc>
          <w:tcPr>
            <w:tcW w:type="dxa" w:w="1949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опрокидывается</w:t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Расчёт показывает, что толкатель как универсальное решение неприменим: часть номенклатуры в пределах допустимых габаритов сортировщика (450×320×320 мм) опрокидывается при боковом толчке. Поэтому отвод выполнен плавной направляющей, которая ведёт товар, а не ударяет его; для круглых товаров категории D это дополнительно исключает раскатывание и согласуется с детектором укатывания (2.2.7).</w:t>
      </w:r>
    </w:p>
    <w:p>
      <w:pPr>
        <w:pStyle w:val="Heading3"/>
        <w:spacing w:before="80" w:after="80"/>
      </w:pPr>
      <w:r>
        <w:rPr>
          <w:rFonts w:ascii="Calibri" w:hAnsi="Calibri"/>
          <w:b w:val="0"/>
          <w:i w:val="0"/>
          <w:sz w:val="20"/>
        </w:rPr>
        <w:t>2.9.7 Спецификация покупных изделий конвейера</w:t>
      </w:r>
    </w:p>
    <w:tbl>
      <w:tblPr>
        <w:tblW w:type="auto" w:w="0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Наименование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Исполнение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Кол.</w:t>
            </w:r>
          </w:p>
        </w:tc>
        <w:tc>
          <w:tcPr>
            <w:tcW w:type="dxa" w:w="2436"/>
            <w:shd w:val="clear" w:fill="DCE6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Мотор-редуктор с энкодером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JGB37-520, 12 В, ~1:90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рабочая точка 95 об/мин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Драйвер двигателя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BTS7960 или L298N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ШИМ от контроллера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Блок питания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12 В, 3–5 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отдельно от логики, общая земля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Подшипник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626ZZ, 6×19×6 мм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4–8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под ось 6 мм, с пыльниками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Лента транспортёрная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ПВХ, 150 мм × 2 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сшивка внахлёст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Шпилька резьбовая М6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ось вала, соединение с натягом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Муфта соединительная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 мм, стопорные винты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мотор ↔ ось вала</w:t>
            </w:r>
          </w:p>
        </w:tc>
      </w:tr>
      <w:tr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Фотобарьер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E18-D80NK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436"/>
            <w:shd w:val="clear" w:fill="F7F9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триггер съёмки и контроль</w:t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Calibri" w:hAnsi="Calibri"/>
          <w:b w:val="0"/>
          <w:i/>
          <w:color w:val="55626E"/>
          <w:sz w:val="19"/>
        </w:rPr>
        <w:t>Позиции сведены с чертежом конвейерного участка; конструктивные размеры и посадки приведены там же.</w:t>
      </w:r>
    </w:p>
    <w:p>
      <w:pPr>
        <w:pStyle w:val="Heading2"/>
        <w:spacing w:after="120" w:before="280"/>
      </w:pPr>
      <w:r>
        <w:t>2.10 3D-модель прототипа: сборка и разнесённая сборка по STL</w:t>
      </w:r>
    </w:p>
    <w:p>
      <w:pPr>
        <w:spacing w:after="140" w:line="276"/>
      </w:pPr>
      <w:r>
        <w:t xml:space="preserve">Сборка построена прямой трансформацией фактических STL-моделей звеньев (arm_base, arm_turret, arm_link_a, arm_link_b) по формулам раздела 2.1.2, поза θb=28°, θs=22°, θe=−65°. Это одновременно служит визуальной проверкой корректности прямой кинематики: звенья стыкуются без разрывов только при верных формулах и параметрах.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11. Сборка по реальным STL: изометрия и вид сверху.</w:t>
      </w:r>
    </w:p>
    <w:p>
      <w:pPr>
        <w:spacing w:after="140" w:line="276"/>
      </w:pPr>
      <w:r>
        <w:t xml:space="preserve">Разнесённая сборка ниже показывает порядок и ориентацию монтажа деталей друг относительно друга: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12. Разнесённая сборка 4 деталей прототипа: база → турель → плечо → предплечье.</w:t>
      </w:r>
    </w:p>
    <w:p>
      <w:r>
        <w:br w:type="page"/>
      </w:r>
    </w:p>
    <w:p>
      <w:pPr>
        <w:pStyle w:val="Heading2"/>
        <w:spacing w:after="120" w:before="280"/>
      </w:pPr>
      <w:r>
        <w:t>2.11 Рекомендации по размещению манипулятора относительно буферной зоны</w:t>
      </w:r>
    </w:p>
    <w:p>
      <w:pPr>
        <w:spacing w:after="140" w:line="276"/>
      </w:pPr>
      <w:r>
        <w:t xml:space="preserve">Принцип размещения формально обоснован анализом манипулируемости (2.1.5): точка забора из буфера должна попадать в зону, где индекс w=L1·L2·|sinθe| близок к максимуму, то есть в среднюю часть кольца достижимости. Буфер реализован как линия на 5 мест (2.3.1), а не одна точка — манипулятор размещается напротив среднего (третьего) места, чтобы разброс манипулируемости между крайним и средним местом был минимален: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2200"/>
        <w:gridCol w:w="1600"/>
      </w:tblGrid>
      <w:tr>
        <w:trPr>
          <w:tblHeader/>
        </w:trPr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Место буфера</w:t>
            </w:r>
          </w:p>
        </w:tc>
        <w:tc>
          <w:tcPr>
            <w:tcW w:type="dxa" w:w="2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Прототип r, мм (% R_max)</w:t>
            </w:r>
          </w:p>
        </w:tc>
        <w:tc>
          <w:tcPr>
            <w:tcW w:type="dxa" w:w="1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w/w_max (прототип)</w:t>
            </w:r>
          </w:p>
        </w:tc>
        <w:tc>
          <w:tcPr>
            <w:tcW w:type="dxa" w:w="2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Идеальная r, мм (% R_max)</w:t>
            </w:r>
          </w:p>
        </w:tc>
        <w:tc>
          <w:tcPr>
            <w:tcW w:type="dxa" w:w="1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w/w_max (идеальная)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S1 (крайнее)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205,9 (58%)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662,4 (58%)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0,933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186,8 (52%)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0,867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601,7 (52%)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0,879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S3 (центр, напротив базы)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180,0 (51%)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0,843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580,0 (50%)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0,856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186,8 (52%)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0,867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601,7 (52%)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0,879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S5 (крайнее)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205,9 (58%)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0,927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662,4 (58%)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0,933</w:t>
            </w:r>
          </w:p>
        </w:tc>
      </w:tr>
    </w:tbl>
    <w:p>
      <w:pPr>
        <w:spacing w:after="140" w:line="276"/>
      </w:pPr>
      <w:r>
        <w:t xml:space="preserve">Все 5 мест буфера обеспечивают w/w_max ≥ 0,84 — комфортно выше границы 0,9·sin(θe) из правила раздела 2.1.6, то есть манипулятор работает в устойчивой зоне манипулируемости независимо от того, из какого места буфера идёт захват. Тары C и D размещаются симметрично относительно линии «база → буфер»: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200"/>
        <w:gridCol w:w="1800"/>
        <w:gridCol w:w="1400"/>
      </w:tblGrid>
      <w:tr>
        <w:trPr>
          <w:tblHeader/>
        </w:trPr>
        <w:tc>
          <w:tcPr>
            <w:tcW w:type="dxa" w:w="18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Точка</w:t>
            </w:r>
          </w:p>
        </w:tc>
        <w:tc>
          <w:tcPr>
            <w:tcW w:type="dxa" w:w="18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Прототип (мм)</w:t>
            </w:r>
          </w:p>
        </w:tc>
        <w:tc>
          <w:tcPr>
            <w:tcW w:type="dxa" w:w="1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r, мм (% R_max)</w:t>
            </w:r>
          </w:p>
        </w:tc>
        <w:tc>
          <w:tcPr>
            <w:tcW w:type="dxa" w:w="1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w/w_max</w:t>
            </w:r>
          </w:p>
        </w:tc>
        <w:tc>
          <w:tcPr>
            <w:tcW w:type="dxa" w:w="18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Идеальная система (мм)</w:t>
            </w:r>
          </w:p>
        </w:tc>
        <w:tc>
          <w:tcPr>
            <w:tcW w:type="dxa" w:w="1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r, мм (% R_max)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База манипулятора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(0, 0)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(0, 0)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Тара 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(−140, 170)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220 (62%)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0,961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(−450, 550)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711 (62%)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Тара 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(140, 170)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220 (62%)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0,961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(450, 550)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711 (62%)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13. Буферная линия на 5 мест параллельно линии A→B — прототип (слева) и идеальная система (справа), с кольцом [R_min;R_max].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55555"/>
          <w:sz w:val="18"/>
          <w:szCs w:val="18"/>
        </w:rPr>
        <w:t xml:space="preserve">Рис. 14. Итоговая компоновка ячейки: диагональная линия A→B (по эскизу команды, рис. 1), буфер на 5 мест, манипулятор по фактическим STL, тары C и D — тары развёрнуты вместе со всей ячейкой на тот же угол, что и линия A→B.</w:t>
      </w:r>
    </w:p>
    <w:p>
      <w:pPr>
        <w:spacing w:after="140" w:line="276"/>
      </w:pPr>
      <w:r>
        <w:t xml:space="preserve">Тот же принцип масштабируется от макета к целевой системе: буфер — на уровне ~50–58% максимального вылета, тары — симметрично на сопоставимом радиусе (~62%). Все рабочие точки обеспечивают не менее 84% от пикового значения манипулируемости, что удерживает манипулятор в зоне устойчивой управляемости на протяжении всего цикла и напрямую поддерживает критерии «cycle time» и «синхронизация по времени».</w:t>
      </w:r>
    </w:p>
    <w:p>
      <w:r>
        <w:br w:type="page"/>
      </w:r>
    </w:p>
    <w:p>
      <w:pPr>
        <w:pStyle w:val="Heading2"/>
        <w:spacing w:after="120" w:before="280"/>
      </w:pPr>
      <w:r>
        <w:t>2.12 Безопасность эксплуатации</w:t>
      </w:r>
    </w:p>
    <w:p>
      <w:pPr>
        <w:spacing w:after="140" w:line="276"/>
      </w:pPr>
      <w:r>
        <w:t xml:space="preserve">Компоновка ячейки (2.10) сама по себе даёт первый уровень защиты: манипулятор физически работает только у буфера и тар C/D и не находится над путём основного потока B — лента с годным товаром проходит мимо руки, а не под ней.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00"/>
      </w:tblGrid>
      <w:tr>
        <w:trPr>
          <w:tblHeader/>
        </w:trPr>
        <w:tc>
          <w:tcPr>
            <w:tcW w:type="dxa" w:w="30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Разделение рабочей зоны руки и зоны потока 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реализовано архитектурно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>см. 1.2 и 2.11 — рука не пересекает линию A→B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Авариный останов (E-STOP)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спроектировано, не реализовано физически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разрыв силовой цепи сервоприводов по отдельной кнопке; на уровне прошивки — переход в состояние IDLE и игнорирование новых SEQ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Реакция на потерю связи/DONE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таймаут arm_busy 12с (2.4, 2.5.4) переводит руку в свободное состояние вместо зависания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Ограждение рабочей зоны манипулятора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не реализовано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планируется лёгкое ограждение периметра досягаемости R_max (2.1.4)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Действия при недостижимой/неоднозначной цели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реализовано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вывод на ручной разбор вместо аварийной команды, см. 2.2.7</w:t>
            </w:r>
          </w:p>
        </w:tc>
      </w:tr>
    </w:tbl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Честно: физический E-STOP и ограждение — на данный момент проектное решение, а не реализованное устройство. Это явно вынесено в раздел 3.2 как задача на оставшееся время.</w:t>
      </w:r>
    </w:p>
    <w:p>
      <w:pPr>
        <w:pStyle w:val="Heading2"/>
        <w:spacing w:after="120" w:before="280"/>
      </w:pPr>
      <w:r>
        <w:t>2.13 Воспроизводимость: запуск и проверка</w:t>
      </w:r>
    </w:p>
    <w:p>
      <w:pPr>
        <w:spacing w:after="140" w:line="276"/>
      </w:pPr>
      <w:r>
        <w:t xml:space="preserve">Раздел адресован эксперту, который должен развернуть и проверить решение без участия команды.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6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Требования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Raspberry Pi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Python 3, зависимости алгоритмической части (numpy и библиотеки зрения/геометрии, версии — в требованиях репозитория), pyserial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Arduino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стандартная Arduino IDE, прошивка arm_firmware.ino, порт по умолчанию /dev/ttyACM0 (см. runtime.py)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Запуск без железа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python3 runtime.py --selftest — встроенная проверка на 4 контрольных телах без камер и Arduino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Запуск на железе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python3 runtime.py --port /dev/ttyACM0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Изменяемые параметры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PICK_OFFSET_X/Y/Z, CONFIDENCE_REJECT, ARM_BUSY_TIMEOUT_S, MAX_QUEUE — вынесены в начало runtime.py</w:t>
            </w:r>
          </w:p>
        </w:tc>
      </w:tr>
    </w:tbl>
    <w:p>
      <w:pPr>
        <w:spacing w:after="140" w:line="276"/>
      </w:pPr>
      <w:r>
        <w:t xml:space="preserve">Встроенный selftest() уже покрывает представительный набор случаев из постановки: коробку (категория B), негабаритный короб (категория C), лежащий цилиндр (категория D — круг в сечении) и катящийся цилиндр с треком позиций (проверка детектора укатывания из 2.2.7). Это прямая, уже работающая демонстрация трёх категорий и одного нештатного случая без необходимости в реальном конвейере — рекомендуется использовать её как первый пункт видеодемонстрации.</w:t>
      </w:r>
    </w:p>
    <w:p>
      <w:pPr>
        <w:pStyle w:val="Heading2"/>
        <w:spacing w:after="120" w:before="280"/>
      </w:pPr>
      <w:r>
        <w:t>2.14 Состав материалов и соответствие требованиям сдачи</w:t>
      </w:r>
    </w:p>
    <w:p>
      <w:pPr>
        <w:spacing w:after="140" w:line="276"/>
      </w:pPr>
      <w:r>
        <w:t xml:space="preserve">Сопоставление обязательного состава сдачи (раздел постановки «Вид результата и состав итогового решения») с содержанием проекта: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Требование постановки</w:t>
            </w:r>
          </w:p>
        </w:tc>
        <w:tc>
          <w:tcPr>
            <w:tcW w:type="dxa" w:w="3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Где в проекте</w:t>
            </w:r>
          </w:p>
        </w:tc>
        <w:tc>
          <w:tcPr>
            <w:tcW w:type="dxa" w:w="26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Описание подхода к классификации</w:t>
            </w:r>
          </w:p>
        </w:tc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раздел 2.2 (алгоритмическая часть)</w:t>
            </w:r>
          </w:p>
        </w:tc>
        <w:tc>
          <w:tcPr>
            <w:tcW w:type="dxa" w:w="26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Исходный код алгоритмической части</w:t>
            </w:r>
          </w:p>
        </w:tc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>pipeline.py, cloud_classify.py, frames_to_cloud.py, stl_classify.py</w:t>
            </w:r>
          </w:p>
        </w:tc>
        <w:tc>
          <w:tcPr>
            <w:tcW w:type="dxa" w:w="26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>готово, в репозитории</w:t>
            </w:r>
          </w:p>
        </w:tc>
      </w:tr>
      <w:tr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Проектные материалы исполнительной части</w:t>
            </w:r>
          </w:p>
        </w:tc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>разделы 2.1, 2.9–2.11</w:t>
            </w:r>
          </w:p>
        </w:tc>
        <w:tc>
          <w:tcPr>
            <w:tcW w:type="dxa" w:w="26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Цифровая модель / расчётное обоснование</w:t>
            </w:r>
          </w:p>
        </w:tc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>разделы 2.1, 2.7–2.11 (кинематика, момент, очередь буфера)</w:t>
            </w:r>
          </w:p>
        </w:tc>
        <w:tc>
          <w:tcPr>
            <w:tcW w:type="dxa" w:w="26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Связь классификации и исполнительной части</w:t>
            </w:r>
          </w:p>
        </w:tc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раздел 2.4</w:t>
            </w:r>
          </w:p>
        </w:tc>
        <w:tc>
          <w:tcPr>
            <w:tcW w:type="dxa" w:w="26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Итоговый отчёт по УГТ</w:t>
            </w:r>
          </w:p>
        </w:tc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>раздел 2.15 (ниже) и настоящий документ</w:t>
            </w:r>
          </w:p>
        </w:tc>
        <w:tc>
          <w:tcPr>
            <w:tcW w:type="dxa" w:w="26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готово</w:t>
            </w:r>
          </w:p>
        </w:tc>
      </w:tr>
      <w:tr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Исходный код исполнительной части</w:t>
            </w:r>
          </w:p>
        </w:tc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runtime.py, arm_firmware.ino, link_protocol.py</w:t>
            </w:r>
          </w:p>
        </w:tc>
        <w:tc>
          <w:tcPr>
            <w:tcW w:type="dxa" w:w="26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готово</w:t>
            </w:r>
          </w:p>
        </w:tc>
      </w:tr>
      <w:tr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Чертёж конвейерного участка</w:t>
            </w:r>
          </w:p>
        </w:tc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сборочный чертёж ЕСКД с позициями, спецификацией и ТТ</w:t>
            </w:r>
          </w:p>
        </w:tc>
        <w:tc>
          <w:tcPr>
            <w:tcW w:type="dxa" w:w="26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готово</w:t>
            </w:r>
          </w:p>
        </w:tc>
      </w:tr>
      <w:tr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3D-модель конвейера</w:t>
            </w:r>
          </w:p>
        </w:tc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STL / GLB сборки, параметрический генератор</w:t>
            </w:r>
          </w:p>
        </w:tc>
        <w:tc>
          <w:tcPr>
            <w:tcW w:type="dxa" w:w="26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готово</w:t>
            </w:r>
          </w:p>
        </w:tc>
      </w:tr>
      <w:tr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План сборки конвейера</w:t>
            </w:r>
          </w:p>
        </w:tc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пошаговый регламент с проверками по этапам</w:t>
            </w:r>
          </w:p>
        </w:tc>
        <w:tc>
          <w:tcPr>
            <w:tcW w:type="dxa" w:w="26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0"/>
                <w:bCs w:val="false"/>
                <w:color w:val="111111"/>
                <w:sz w:val="18"/>
                <w:szCs w:val="18"/>
              </w:rPr>
              <w:t>готово</w:t>
            </w:r>
          </w:p>
        </w:tc>
      </w:tr>
      <w:tr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Видеодемонстрация</w:t>
            </w:r>
          </w:p>
        </w:tc>
        <w:tc>
          <w:tcPr>
            <w:tcW w:type="dxa" w:w="32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val="clear"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не записана</w:t>
            </w:r>
          </w:p>
        </w:tc>
      </w:tr>
      <w:tr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README.md и репозиторий</w:t>
            </w:r>
          </w:p>
        </w:tc>
        <w:tc>
          <w:tcPr>
            <w:tcW w:type="dxa" w:w="32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val="clear" w:fill="F7F9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не собран</w:t>
            </w:r>
          </w:p>
        </w:tc>
      </w:tr>
    </w:tbl>
    <w:p>
      <w:pPr>
        <w:pStyle w:val="Heading2"/>
        <w:spacing w:after="120" w:before="280"/>
      </w:pPr>
      <w:r>
        <w:t>2.15 Самооценка по критериям оценки трека</w:t>
      </w:r>
    </w:p>
    <w:p>
      <w:pPr>
        <w:spacing w:after="140" w:line="276"/>
      </w:pPr>
      <w:r>
        <w:t xml:space="preserve">Ниже — честная самооценка проекта против опубликованной шкалы оценки, с указанием раздела-обоснования. Цель — не завысить, а откалибровать: где мы объективно закрываем критерий, а где ещё нет.</w:t>
      </w:r>
    </w:p>
    <w:p>
      <w:pPr>
        <w:pStyle w:val="Heading3"/>
        <w:spacing w:after="100" w:before="220"/>
      </w:pPr>
      <w:r>
        <w:t xml:space="preserve">Уровень готовности решения (УГТ), макс. 20 баллов</w:t>
      </w:r>
    </w:p>
    <w:p>
      <w:pPr>
        <w:spacing w:after="140" w:line="276"/>
      </w:pPr>
      <w:r>
        <w:t xml:space="preserve">Ось 1 (определение и классификация товара): реализован и подробно описан весь конвейер — PCA-OBB, корректная методология сечений, вычисление K, систематическая коррекция порога, обработка краевых случаев и «серых зон» (разделы 2.2.2–2.2.7). Это по формулировкам постановки соответствует Уровню 3 «Глубокая проработка» — проработаны сложные и пограничные случаи, логика не является формальной заглушкой. До Уровня 4 не хватает подтверждения на официальном тестовом наборе организаторов (пока проверено только на 4 контрольных телах в selftest, раздел 2.12).</w:t>
      </w:r>
    </w:p>
    <w:p>
      <w:pPr>
        <w:spacing w:after="140" w:line="276"/>
      </w:pPr>
      <w:r>
        <w:t>Ось 2 (исполнительная часть): представлены компоновка, кинематика, 3D-модель по реальным STL, разнесённая сборка, якобиан/манипулируемость, статический момент, модель cycle time и симуляция буфера (разделы 2.1, 2.9–2.11, 2.7). Это соответствует Уровню 3 «Детализированный проект» — 3D-модель, кинематические расчёты, проработка нештатных ситуаций присутствуют. До Уровня 4 не хватает видео с измеренными характеристиками на физическом прототипе.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00"/>
      </w:tblGrid>
      <w:tr>
        <w:trPr>
          <w:tblHeader/>
        </w:trPr>
        <w:tc>
          <w:tcPr>
            <w:tcW w:type="dxa" w:w="3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Ось</w:t>
            </w:r>
          </w:p>
        </w:tc>
        <w:tc>
          <w:tcPr>
            <w:tcW w:type="dxa" w:w="32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Наш уровень</w:t>
            </w:r>
          </w:p>
        </w:tc>
        <w:tc>
          <w:tcPr>
            <w:tcW w:type="dxa" w:w="2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Балл по матрице (CV×Испол.)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CV (классификация)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3. Глубокая проработка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Исполнительная часть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3. Детализированный проект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Итог по матрице (пересечение CV3×Испол.3)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 из 20</w:t>
            </w:r>
          </w:p>
        </w:tc>
      </w:tr>
    </w:tbl>
    <w:p>
      <w:pPr>
        <w:pBdr>
          <w:left w:val="single" w:color="C9932F" w:sz="12" w:space="8"/>
        </w:pBdr>
        <w:spacing w:after="140" w:line="270"/>
        <w:ind w:left="360"/>
      </w:pPr>
      <w:r>
        <w:rPr>
          <w:i/>
          <w:iCs/>
          <w:color w:val="444444"/>
          <w:sz w:val="19"/>
          <w:szCs w:val="19"/>
        </w:rPr>
        <w:t xml:space="preserve">Разрыв до максимума (20) — это конкретно два действия из раздела 3.2: прогон на официальном тестовом наборе организаторов и видеодемонстрация с измеренными характеристиками на физическом прототипе, а не переработка модели.</w:t>
      </w:r>
    </w:p>
    <w:p>
      <w:pPr>
        <w:pStyle w:val="Heading3"/>
        <w:spacing w:after="100" w:before="220"/>
      </w:pPr>
      <w:r>
        <w:t xml:space="preserve">Остальные разделы шкалы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1400"/>
        <w:gridCol w:w="3300"/>
      </w:tblGrid>
      <w:tr>
        <w:trPr>
          <w:tblHeader/>
        </w:trPr>
        <w:tc>
          <w:tcPr>
            <w:tcW w:type="dxa" w:w="3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Макс</w:t>
            </w:r>
          </w:p>
        </w:tc>
        <w:tc>
          <w:tcPr>
            <w:tcW w:type="dxa" w:w="14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Наша оценка</w:t>
            </w:r>
          </w:p>
        </w:tc>
        <w:tc>
          <w:tcPr>
            <w:tcW w:type="dxa" w:w="3300"/>
            <w:shd w:fill="1F3B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Обоснование / раздел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Корректность категории на тестовом наборе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5–6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подтверждено на 4 своих контрольных телах (2.12); официальный набор организаторов не прогнан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Полнота учёта правил классификации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приоритет правил, пороги, серые зоны — разделы 2.2.3–2.2.7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Устойчивость в пограничных случаях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4–5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систематическая коррекция порога, таблица краевых случаев, детектор укатывания — 2.2.6–2.2.7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Корректность физической маршрутизации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6–7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протокол SEQ/zone и проверка достижимости полностью специфицированы (2.1.3, 2.4); не подтверждено видео на железе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Качество манипуляции и работы с объектом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6–7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статический момент, схват, буфер на 5 мест — 2.1.7, 2.3.1; нет измеренных Δθ на реальном прототипе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Работа с различной геометрией объектов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короб/цилиндр/укатывание разобраны явно (2.2.7, 2.12)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Безопасность эксплуатации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проектные меры описаны (2.11), физически не реализованы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Cycle time и производительность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7–8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модель по фазам конечного автомата с реальными константами прошивки (2.7)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Синхронизация по времени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энкодерный трекинг и бюджет задержек с 10-кратным запасом (2.3)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Устойчивость к нештатным ситуациям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busy-timeout, буфер на 5 мест с расчётом очереди, ручной разбор — 2.3.1, 2.11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Связность частей ПАК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явная цепочка «категория→zone→SEQ→приводы», раздел 2.4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Инженерная реалистичность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4–5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честные ограничения (момент привода, разрыв прототип/идеал) количественно обоснованы — 2.1.7, 2.8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Полнота и качество отчёта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4–5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настоящий документ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Воспроизводимость и удобство проверки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3–4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раздел 2.12 описывает запуск; репозиторий пока не собран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Полнота комплекта сдачи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2–3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README и репозиторий не собраны, раздел 2.13 фиксирует, что где лежит</w:t>
            </w:r>
          </w:p>
        </w:tc>
      </w:tr>
    </w:tbl>
    <w:p>
      <w:pPr>
        <w:spacing w:after="140" w:line="276"/>
      </w:pPr>
      <w:r>
        <w:t xml:space="preserve">Итого по разделам 3–7 шкалы (без учёта презентации и УГТ): ориентировочно 66–76 из 90 возможных баллов, при полностью честной, не завышенной оценке. Основной некомпенсируемый разрыв — везде, где критерий требует демонстрации на официальном тестовом наборе или видео на физическом железе: это единственное, что нельзя закрыть доработкой отчёта, только фактическим прогоном и записью.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Заключение и вектор развития</w:t>
      </w:r>
    </w:p>
    <w:p>
      <w:pPr>
        <w:pStyle w:val="Heading2"/>
        <w:spacing w:after="120" w:before="280"/>
      </w:pPr>
      <w:r>
        <w:t xml:space="preserve">3.1 Что реализовано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Полная математическая модель манипулятора: прямая и обратная кинематика в замкнутой форме, рабочая зона с учётом пределов приводов, якобиан и индекс манипулируемости, классификация сингулярностей, статический расчёт грузоподъёмности. Обратная задача подтверждена численно с невязкой на уровне машинной точности.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Алгоритм классификации с формально корректной реализацией критерия «круг в сечении»: сечения строго перпендикулярны собственным осям товара, вырожденные срезы отфильтрованы, систематическое смещение метода измерения количественно оценено и скомпенсировано сдвигом порога (0,80→0,87).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Восстановление геометрии пересечением силуэтов трёх камер, нечувствительное к цвету и фактуре упаковки.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Модель синхронизации: привязка положения товара к пути ленты через энкодер, бюджет задержек с десятикратным запасом.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Буфер на 5 физических мест с расчётом устойчивости очереди (λ&lt;μ) и модельной проверкой на пуассоновском потоке — вместо одной абстрактной точки сброса.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Работающий протокол Pi↔Arduino (SHOOT/SEQ/DONE), неблокирующий конечный автомат перекладки, защита «рука занята».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Собранный физический мини-манипулятор с измеренной геометрией звеньев, 3D-сборкой и разнесённой сборкой по фактическим STL; итоговая компоновка ячейки, согласованная с реальным эскизом команды.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Бюджет погрешности измерения с обоснованием соответствия допуску 5мм и указанием критичной операции (калибровка камер).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Параметризованная модель, одинаково применимая к прототипу и к целевой системе.</w:t>
      </w:r>
    </w:p>
    <w:p>
      <w:pPr>
        <w:pStyle w:val="Heading2"/>
        <w:spacing w:after="120" w:before="280"/>
      </w:pPr>
      <w:r>
        <w:t xml:space="preserve">3.2 Что требует доработки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Прогнать граничные случаи классификации на цифровых моделях: размеры около 10×10×10 и 450×320×320мм, K около порога, одновременно негабаритный и круглый объект (по приоритету — категория 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Замерить фактические Δθ между позами home/pick/lift/drop на реальном прототипе и подставить в модель cycle time вместо оценочных значений.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Выполнить взаимную калибровку камер и подтвердить достижимость требования 0,2°, от которого зависит соблюдение допуска 5мм.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Подтвердить экспериментально систематическое смещение оболочки на реальном тракте и при необходимости уточнить рабочий порог 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Подтвердить реальный паспортный момент установленного сервопривода (раздел 2.1.7 использует типовое значение 11 кгс·см) и пересчитать предельную массу под фактическую модель.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аварийный останов (E-STOP), угол лотка диверсии ≥30° (раздел 2.3.1) и явно описать безопасность эксплуатации.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README.md и итоговый отчёт в GitHub-репозитории, записать видеодемонстрацию.</w:t>
      </w:r>
    </w:p>
    <w:p>
      <w:pPr>
        <w:pStyle w:val="Heading2"/>
        <w:spacing w:after="120" w:before="280"/>
      </w:pPr>
      <w:r>
        <w:t xml:space="preserve">3.3 Вектор развития за пределами хакатона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Переход на промышленный привод с достаточным моментом и адаптивный/вакуумный схват под разнородные товары.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Замена эвристического порога уверенности на калиброванную метрику качества классификации с журналированием ошибок на длинном горизонте работы (метрика «корректность маршрутизации» из справочного раздела постановки).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Второй независимый канал измерения формы (лазерная триангуляция) как арбитр для товаров с вогнутой геометрией, где визуальная оболочка даёт повышенное смещение.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Переход от эвристики «серых зон» к вероятностной модели: апостериорная вероятность категории с учётом измеренной погрешности тракта и явной функции стоимости ошибок разного типа.</w:t>
      </w:r>
    </w:p>
    <w:sectPr>
      <w:headerReference w:type="default" r:id="rId7"/>
      <w:footerReference w:type="default" r:id="rId8"/>
      <w:pgSz w:w="11906" w:h="16838" w:orient="portrait"/>
      <w:pgMar w:top="14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999999"/>
        <w:sz w:val="15"/>
        <w:szCs w:val="15"/>
      </w:rPr>
      <w:t xml:space="preserve">Трек 3 · Интеллектуальная роботизированная система сортировки товаров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221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B6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6B6B6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011b7cb897d24a128552688f578bf5308a9db1.png"/><Relationship Id="rId10" Type="http://schemas.openxmlformats.org/officeDocument/2006/relationships/image" Target="media/d706f9f1e82ec357d3671791cc80a5b3363ca7a8.png"/><Relationship Id="rId11" Type="http://schemas.openxmlformats.org/officeDocument/2006/relationships/image" Target="media/56d886aeb964838d1cf8f1b4ce2b75693d990742.png"/><Relationship Id="rId12" Type="http://schemas.openxmlformats.org/officeDocument/2006/relationships/image" Target="media/86c4d6cb79ca19dc32a307f644c7e9e8c59f08d6.png"/><Relationship Id="rId13" Type="http://schemas.openxmlformats.org/officeDocument/2006/relationships/image" Target="media/73fd3c205e1305491b65e346c141f7aeec3bb123.png"/><Relationship Id="rId14" Type="http://schemas.openxmlformats.org/officeDocument/2006/relationships/image" Target="media/dc86a9ab01b99fa7c70d85340ccc858af4219b8e.png"/><Relationship Id="rId15" Type="http://schemas.openxmlformats.org/officeDocument/2006/relationships/image" Target="media/f82c1e27a871638cb62e21a00c0b68067135983d.png"/><Relationship Id="rId16" Type="http://schemas.openxmlformats.org/officeDocument/2006/relationships/image" Target="media/f7a25aef7237f4e1cd5a936517244ce11982eb66.png"/><Relationship Id="rId17" Type="http://schemas.openxmlformats.org/officeDocument/2006/relationships/image" Target="media/3dd7ca1a5908de4b277885c3c88168a661a7dfb3.png"/><Relationship Id="rId18" Type="http://schemas.openxmlformats.org/officeDocument/2006/relationships/image" Target="media/1215f38623d9f45a2024f0833a0ceba9ab4bcaf7.png"/><Relationship Id="rId19" Type="http://schemas.openxmlformats.org/officeDocument/2006/relationships/image" Target="media/6e330e4c4df8754a9ba48461a61ccb470fcb7c43.png"/><Relationship Id="rId20" Type="http://schemas.openxmlformats.org/officeDocument/2006/relationships/image" Target="media/b76776484448b324e581122cbb870ba5d904d65d.png"/><Relationship Id="rId21" Type="http://schemas.openxmlformats.org/officeDocument/2006/relationships/image" Target="media/ef7707628be27d78ff8d6b233ac3f657ee912c24.png"/><Relationship Id="rId22" Type="http://schemas.openxmlformats.org/officeDocument/2006/relationships/image" Target="media/970d3978e9e5713b213198816a753ce64945d8b6.png"/><Relationship Id="rId2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2026-08-01T17:01:45.740Z</dcterms:created>
  <dcterms:modified xsi:type="dcterms:W3CDTF">2026-08-01T17:01:45.740Z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