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880DC" w14:textId="77777777" w:rsidR="008F16BF" w:rsidRPr="008F16BF" w:rsidRDefault="008F16BF" w:rsidP="008F16BF">
      <w:pPr>
        <w:jc w:val="center"/>
        <w:rPr>
          <w:b/>
        </w:rPr>
      </w:pPr>
      <w:r w:rsidRPr="008F16BF">
        <w:rPr>
          <w:b/>
        </w:rPr>
        <w:t>Project Report 3: Estimating Yearly Visitors to Germantown Metropark</w:t>
      </w:r>
    </w:p>
    <w:p w14:paraId="11F43A76" w14:textId="77777777" w:rsidR="008F16BF" w:rsidRDefault="008F16BF"/>
    <w:p w14:paraId="61737FBB" w14:textId="18ACDCEF" w:rsidR="008F16BF" w:rsidRDefault="008F16BF">
      <w:r>
        <w:t xml:space="preserve">Client Name: </w:t>
      </w:r>
      <w:r w:rsidR="00CD0167">
        <w:t>Five Rivers</w:t>
      </w:r>
      <w:r>
        <w:t xml:space="preserve"> Metroparks </w:t>
      </w:r>
    </w:p>
    <w:p w14:paraId="26F811FC" w14:textId="77777777" w:rsidR="008F16BF" w:rsidRDefault="008F16BF">
      <w:r>
        <w:t>Meeting Time: N/A</w:t>
      </w:r>
    </w:p>
    <w:p w14:paraId="15D6BD5A" w14:textId="77777777" w:rsidR="008F16BF" w:rsidRDefault="008F16BF"/>
    <w:p w14:paraId="6A2AE023" w14:textId="77777777" w:rsidR="008F16BF" w:rsidRPr="008F16BF" w:rsidRDefault="008F16BF">
      <w:pPr>
        <w:rPr>
          <w:b/>
        </w:rPr>
      </w:pPr>
      <w:r w:rsidRPr="008F16BF">
        <w:rPr>
          <w:b/>
        </w:rPr>
        <w:t>Background</w:t>
      </w:r>
    </w:p>
    <w:p w14:paraId="09E592A2" w14:textId="77777777" w:rsidR="008F16BF" w:rsidRDefault="008F16BF"/>
    <w:p w14:paraId="47370441" w14:textId="63F0B88E" w:rsidR="00AE07C0" w:rsidRDefault="00F84313" w:rsidP="000B3CAD">
      <w:pPr>
        <w:jc w:val="both"/>
      </w:pPr>
      <w:r>
        <w:t xml:space="preserve">The client wants to estimate the total number of </w:t>
      </w:r>
      <w:r w:rsidR="008F16BF">
        <w:t xml:space="preserve">yearly </w:t>
      </w:r>
      <w:r w:rsidR="00E40AF0">
        <w:t>visitors to Germantown m</w:t>
      </w:r>
      <w:r>
        <w:t xml:space="preserve">etropark </w:t>
      </w:r>
      <w:r w:rsidR="00AF0319">
        <w:t xml:space="preserve">while </w:t>
      </w:r>
      <w:r>
        <w:t xml:space="preserve">utilizing as few traffic counters as possible. Currently each entrance to the park is equipped with </w:t>
      </w:r>
      <w:r w:rsidR="0034243A">
        <w:t>a traffic counter</w:t>
      </w:r>
      <w:bookmarkStart w:id="0" w:name="_GoBack"/>
      <w:bookmarkEnd w:id="0"/>
      <w:r>
        <w:t xml:space="preserve">. The client states that it is expensive to maintain all the counters. As a cost-cutting measure, the client would like to remove some of the counters while still estimating </w:t>
      </w:r>
      <w:r w:rsidR="008F16BF">
        <w:t xml:space="preserve">the total visitors to the park with </w:t>
      </w:r>
      <m:oMath>
        <m:r>
          <w:rPr>
            <w:rFonts w:ascii="Cambria Math" w:hAnsi="Cambria Math"/>
          </w:rPr>
          <m:t xml:space="preserve">±10% </m:t>
        </m:r>
      </m:oMath>
      <w:r w:rsidR="008F16BF">
        <w:t>accuracy of the actual value of the yearly total.</w:t>
      </w:r>
    </w:p>
    <w:p w14:paraId="5B550B8D" w14:textId="77777777" w:rsidR="00B0093F" w:rsidRDefault="00B0093F"/>
    <w:p w14:paraId="68A90958" w14:textId="37D86F1A" w:rsidR="00B0093F" w:rsidRDefault="00B0093F">
      <w:r w:rsidRPr="00B0093F">
        <w:rPr>
          <w:b/>
        </w:rPr>
        <w:t>Data</w:t>
      </w:r>
    </w:p>
    <w:p w14:paraId="052B1523" w14:textId="77777777" w:rsidR="00B0093F" w:rsidRDefault="00B0093F"/>
    <w:p w14:paraId="544CBDAA" w14:textId="37FD3A96" w:rsidR="0067672C" w:rsidRDefault="0067672C" w:rsidP="000B3CAD">
      <w:pPr>
        <w:jc w:val="both"/>
      </w:pPr>
      <w:r>
        <w:t>The data consist of total number of monthly visitors to Germantown metropark from 2012 to 2017. There are seven different gates to the park and the number of vis</w:t>
      </w:r>
      <w:r w:rsidR="00EC15AF">
        <w:t>itors are broken down by gate. Nature Center</w:t>
      </w:r>
      <w:r>
        <w:t xml:space="preserve"> gate was permanently closed in </w:t>
      </w:r>
      <w:r w:rsidR="00B85FF7">
        <w:t>October</w:t>
      </w:r>
      <w:r>
        <w:t xml:space="preserve"> of 2015 and </w:t>
      </w:r>
      <w:r w:rsidR="00BC6D6A">
        <w:t>is</w:t>
      </w:r>
      <w:r>
        <w:t xml:space="preserve"> </w:t>
      </w:r>
      <w:r w:rsidR="008D7719">
        <w:t>excluded</w:t>
      </w:r>
      <w:r>
        <w:t xml:space="preserve"> </w:t>
      </w:r>
      <w:r w:rsidR="008D7719">
        <w:t>from</w:t>
      </w:r>
      <w:r>
        <w:t xml:space="preserve"> the analysis. But the number of visitors using that gate</w:t>
      </w:r>
      <w:r w:rsidR="00EC15AF">
        <w:t xml:space="preserve"> in previous years</w:t>
      </w:r>
      <w:r>
        <w:t xml:space="preserve"> </w:t>
      </w:r>
      <w:r w:rsidR="00BC6D6A">
        <w:t>is</w:t>
      </w:r>
      <w:r>
        <w:t xml:space="preserve"> included in the total visitor count for the final analysis. </w:t>
      </w:r>
    </w:p>
    <w:p w14:paraId="77D19856" w14:textId="77777777" w:rsidR="00A459D1" w:rsidRDefault="00A459D1"/>
    <w:p w14:paraId="3ECE1141" w14:textId="3A56A325" w:rsidR="00A459D1" w:rsidRDefault="00A459D1">
      <w:r w:rsidRPr="00A459D1">
        <w:rPr>
          <w:b/>
        </w:rPr>
        <w:t>Method</w:t>
      </w:r>
    </w:p>
    <w:p w14:paraId="3E0E4C9B" w14:textId="77777777" w:rsidR="00852B2D" w:rsidRDefault="00852B2D" w:rsidP="00311358">
      <w:pPr>
        <w:jc w:val="both"/>
      </w:pPr>
    </w:p>
    <w:p w14:paraId="28202B74" w14:textId="2ABA0994" w:rsidR="00587332" w:rsidRDefault="00BC6D6A" w:rsidP="00311358">
      <w:pPr>
        <w:jc w:val="both"/>
      </w:pPr>
      <w:r>
        <w:t xml:space="preserve">Total attendance is sorted by quarter (Jan-March, April-June, July-Aug, Sep-Dec) per gate per year. </w:t>
      </w:r>
      <w:r w:rsidR="00A12CDB">
        <w:t xml:space="preserve">Total visitors to the park for each quarter is separately calculated. </w:t>
      </w:r>
      <w:r w:rsidR="002B7690" w:rsidRPr="000873F6">
        <w:rPr>
          <w:i/>
        </w:rPr>
        <w:t>Leave One Out Cross Validation</w:t>
      </w:r>
      <w:r w:rsidR="00F50B87">
        <w:rPr>
          <w:i/>
        </w:rPr>
        <w:t xml:space="preserve"> (LOOCV)</w:t>
      </w:r>
      <w:r w:rsidR="002B7690">
        <w:t xml:space="preserve"> process</w:t>
      </w:r>
      <w:r w:rsidR="006A5F66">
        <w:t xml:space="preserve"> with simple linear regression</w:t>
      </w:r>
      <w:r w:rsidR="00852B2D">
        <w:t xml:space="preserve"> in statistical software package R</w:t>
      </w:r>
      <w:r w:rsidR="002B7690">
        <w:t xml:space="preserve"> </w:t>
      </w:r>
      <w:r w:rsidR="00713744">
        <w:t>is</w:t>
      </w:r>
      <w:r w:rsidR="002B7690">
        <w:t xml:space="preserve"> utilized </w:t>
      </w:r>
      <w:r w:rsidR="00183AA1">
        <w:t xml:space="preserve">to </w:t>
      </w:r>
      <w:r w:rsidR="00F50B87">
        <w:t xml:space="preserve">carry out the analysis </w:t>
      </w:r>
      <w:r w:rsidR="00183AA1">
        <w:t xml:space="preserve">with </w:t>
      </w:r>
      <w:r w:rsidR="00BA1B2D">
        <w:t>quarterly total</w:t>
      </w:r>
      <w:r w:rsidR="00713744">
        <w:t xml:space="preserve"> attendance</w:t>
      </w:r>
      <w:r w:rsidR="00BA1B2D">
        <w:t xml:space="preserve"> for </w:t>
      </w:r>
      <w:r w:rsidR="00713744">
        <w:t>the park for each year</w:t>
      </w:r>
      <w:r w:rsidR="00BA1B2D">
        <w:t xml:space="preserve"> </w:t>
      </w:r>
      <w:r w:rsidR="00713744">
        <w:t xml:space="preserve">as the dependent variable and </w:t>
      </w:r>
      <w:r w:rsidR="00E272EF">
        <w:t xml:space="preserve">quarterly attendance </w:t>
      </w:r>
      <w:r w:rsidR="00311358">
        <w:t>for</w:t>
      </w:r>
      <w:r w:rsidR="00E272EF">
        <w:t xml:space="preserve"> each gate for each year as the independent variable. </w:t>
      </w:r>
      <w:r w:rsidR="00751504">
        <w:t>Separate</w:t>
      </w:r>
      <w:r w:rsidR="00283B61">
        <w:t xml:space="preserve"> model</w:t>
      </w:r>
      <w:r w:rsidR="00751504">
        <w:t>s</w:t>
      </w:r>
      <w:r w:rsidR="00283B61">
        <w:t xml:space="preserve"> </w:t>
      </w:r>
      <w:r w:rsidR="00751504">
        <w:t xml:space="preserve">are </w:t>
      </w:r>
      <w:r w:rsidR="00283B61">
        <w:t>implemented</w:t>
      </w:r>
      <w:r w:rsidR="00FC52B6">
        <w:t xml:space="preserve"> in the </w:t>
      </w:r>
      <w:r w:rsidR="00FC52B6" w:rsidRPr="00FC52B6">
        <w:rPr>
          <w:i/>
        </w:rPr>
        <w:t>train</w:t>
      </w:r>
      <w:r w:rsidR="00FC52B6">
        <w:rPr>
          <w:i/>
        </w:rPr>
        <w:t>ing</w:t>
      </w:r>
      <w:r w:rsidR="00FC52B6">
        <w:t xml:space="preserve"> process</w:t>
      </w:r>
      <w:r w:rsidR="00283B61">
        <w:t xml:space="preserve"> </w:t>
      </w:r>
      <w:r w:rsidR="00FC52B6">
        <w:t xml:space="preserve">for each quarter and each gate totaling 24 different models (4 quarters per year and 6 different gates). </w:t>
      </w:r>
    </w:p>
    <w:p w14:paraId="47A0247A" w14:textId="77777777" w:rsidR="00587332" w:rsidRDefault="00587332" w:rsidP="00311358">
      <w:pPr>
        <w:jc w:val="both"/>
      </w:pPr>
    </w:p>
    <w:p w14:paraId="2564B4BC" w14:textId="77777777" w:rsidR="003700B4" w:rsidRDefault="00587332" w:rsidP="00311358">
      <w:pPr>
        <w:jc w:val="both"/>
      </w:pPr>
      <w:r>
        <w:t xml:space="preserve">In </w:t>
      </w:r>
      <w:r w:rsidR="00537349">
        <w:rPr>
          <w:i/>
        </w:rPr>
        <w:t>LOOCV</w:t>
      </w:r>
      <w:r>
        <w:t>, data is divided into subsets and a single subset is designated as validation data while the remaining subsets are used as training data. This process is repeated such that each subset is used once as the validation data. The goal of this cross-validation process is to test the model’s ability to predict new data that was not used in estimating it.</w:t>
      </w:r>
      <w:r w:rsidR="00DB3185">
        <w:t xml:space="preserve"> </w:t>
      </w:r>
    </w:p>
    <w:p w14:paraId="0CED1F44" w14:textId="77777777" w:rsidR="003700B4" w:rsidRDefault="003700B4" w:rsidP="00311358">
      <w:pPr>
        <w:jc w:val="both"/>
      </w:pPr>
    </w:p>
    <w:p w14:paraId="0B8ED9F0" w14:textId="5CA235A2" w:rsidR="00A459D1" w:rsidRPr="00E779E0" w:rsidRDefault="00DB3185" w:rsidP="00311358">
      <w:pPr>
        <w:jc w:val="both"/>
      </w:pPr>
      <w:r>
        <w:t xml:space="preserve">In this project, each iteration of </w:t>
      </w:r>
      <w:r w:rsidRPr="00DB3185">
        <w:rPr>
          <w:i/>
        </w:rPr>
        <w:t>LOOCV</w:t>
      </w:r>
      <w:r>
        <w:t xml:space="preserve"> </w:t>
      </w:r>
      <w:r w:rsidR="00A77CA7">
        <w:t xml:space="preserve">for each gate consists of designating that gate’s quarterly </w:t>
      </w:r>
      <w:r w:rsidR="00FF0B96">
        <w:t>attendance for a specific year</w:t>
      </w:r>
      <w:r w:rsidR="003700B4">
        <w:t xml:space="preserve"> (independent variable)</w:t>
      </w:r>
      <w:r w:rsidR="00FF0B96">
        <w:t xml:space="preserve"> and that </w:t>
      </w:r>
      <w:r w:rsidR="003700B4">
        <w:t xml:space="preserve">gate’s total quarterly attendance for all years (dependent variable) as </w:t>
      </w:r>
      <w:r w:rsidR="00900C1E">
        <w:t>validati</w:t>
      </w:r>
      <w:r w:rsidR="00320DC3">
        <w:t xml:space="preserve">on data and using the data for same two variables from all other years as training data. </w:t>
      </w:r>
      <w:r w:rsidR="00E779E0">
        <w:rPr>
          <w:i/>
        </w:rPr>
        <w:t>Mean Absolute Error (MAE)</w:t>
      </w:r>
      <w:r w:rsidR="00E779E0">
        <w:t xml:space="preserve"> from each training iteration is divided by </w:t>
      </w:r>
      <w:r w:rsidR="00773B0E">
        <w:t xml:space="preserve">average </w:t>
      </w:r>
      <w:r w:rsidR="005265F8">
        <w:t>quarterly</w:t>
      </w:r>
      <w:r w:rsidR="00773B0E">
        <w:t xml:space="preserve"> park attendance from the respective quarter</w:t>
      </w:r>
      <w:r w:rsidR="00046859">
        <w:t xml:space="preserve"> to calculate </w:t>
      </w:r>
      <w:r w:rsidR="00046859" w:rsidRPr="00046859">
        <w:rPr>
          <w:i/>
        </w:rPr>
        <w:t>average</w:t>
      </w:r>
      <w:r w:rsidR="00046859">
        <w:t xml:space="preserve"> </w:t>
      </w:r>
      <w:r w:rsidR="00046859" w:rsidRPr="00046859">
        <w:rPr>
          <w:i/>
        </w:rPr>
        <w:t>MAE</w:t>
      </w:r>
      <w:r w:rsidR="00773B0E">
        <w:t xml:space="preserve">. </w:t>
      </w:r>
      <w:r w:rsidR="00046859">
        <w:t xml:space="preserve">This value is utilized to measure the accuracy of the prediction. </w:t>
      </w:r>
    </w:p>
    <w:p w14:paraId="24C1D89E" w14:textId="77777777" w:rsidR="00E852C7" w:rsidRDefault="00E852C7" w:rsidP="00311358">
      <w:pPr>
        <w:jc w:val="both"/>
      </w:pPr>
    </w:p>
    <w:p w14:paraId="17B29375" w14:textId="77777777" w:rsidR="00E852C7" w:rsidRDefault="00E852C7" w:rsidP="00311358">
      <w:pPr>
        <w:jc w:val="both"/>
      </w:pPr>
    </w:p>
    <w:tbl>
      <w:tblPr>
        <w:tblW w:w="9360" w:type="dxa"/>
        <w:tblLook w:val="04A0" w:firstRow="1" w:lastRow="0" w:firstColumn="1" w:lastColumn="0" w:noHBand="0" w:noVBand="1"/>
      </w:tblPr>
      <w:tblGrid>
        <w:gridCol w:w="1699"/>
        <w:gridCol w:w="1897"/>
        <w:gridCol w:w="1567"/>
        <w:gridCol w:w="1567"/>
        <w:gridCol w:w="1567"/>
        <w:gridCol w:w="1063"/>
      </w:tblGrid>
      <w:tr w:rsidR="00E852C7" w:rsidRPr="00E8717C" w14:paraId="1B259F08" w14:textId="77777777" w:rsidTr="00AA674D">
        <w:trPr>
          <w:trHeight w:val="320"/>
        </w:trPr>
        <w:tc>
          <w:tcPr>
            <w:tcW w:w="1699" w:type="dxa"/>
            <w:tcBorders>
              <w:top w:val="nil"/>
              <w:left w:val="nil"/>
              <w:bottom w:val="single" w:sz="4" w:space="0" w:color="auto"/>
              <w:right w:val="single" w:sz="4" w:space="0" w:color="auto"/>
            </w:tcBorders>
            <w:shd w:val="clear" w:color="auto" w:fill="auto"/>
            <w:noWrap/>
            <w:vAlign w:val="bottom"/>
            <w:hideMark/>
          </w:tcPr>
          <w:p w14:paraId="14977BB9" w14:textId="77777777" w:rsidR="00E852C7" w:rsidRPr="00E8717C" w:rsidRDefault="00E852C7" w:rsidP="00AA674D">
            <w:pPr>
              <w:rPr>
                <w:rFonts w:ascii="Calibri" w:eastAsia="Times New Roman" w:hAnsi="Calibri" w:cs="Times New Roman"/>
                <w:color w:val="000000"/>
              </w:rPr>
            </w:pPr>
            <w:r w:rsidRPr="00E8717C">
              <w:rPr>
                <w:rFonts w:ascii="Calibri" w:eastAsia="Times New Roman" w:hAnsi="Calibri" w:cs="Times New Roman"/>
                <w:color w:val="000000"/>
              </w:rPr>
              <w:lastRenderedPageBreak/>
              <w:t>Gate</w:t>
            </w:r>
          </w:p>
        </w:tc>
        <w:tc>
          <w:tcPr>
            <w:tcW w:w="1897" w:type="dxa"/>
            <w:tcBorders>
              <w:top w:val="nil"/>
              <w:left w:val="nil"/>
              <w:bottom w:val="single" w:sz="4" w:space="0" w:color="auto"/>
              <w:right w:val="nil"/>
            </w:tcBorders>
            <w:shd w:val="clear" w:color="auto" w:fill="auto"/>
            <w:noWrap/>
            <w:vAlign w:val="bottom"/>
            <w:hideMark/>
          </w:tcPr>
          <w:p w14:paraId="12722ECB" w14:textId="2F242645" w:rsidR="00E852C7" w:rsidRPr="00E8717C" w:rsidRDefault="00F442ED" w:rsidP="00AA674D">
            <w:pPr>
              <w:ind w:firstLineChars="500" w:firstLine="1200"/>
              <w:rPr>
                <w:rFonts w:ascii="Calibri" w:eastAsia="Times New Roman" w:hAnsi="Calibri" w:cs="Times New Roman"/>
                <w:color w:val="000000"/>
              </w:rPr>
            </w:pPr>
            <w:r>
              <w:rPr>
                <w:rFonts w:ascii="Calibri" w:eastAsia="Times New Roman" w:hAnsi="Calibri" w:cs="Times New Roman"/>
                <w:color w:val="000000"/>
              </w:rPr>
              <w:t xml:space="preserve">  </w:t>
            </w:r>
            <w:r w:rsidR="00E852C7" w:rsidRPr="00E8717C">
              <w:rPr>
                <w:rFonts w:ascii="Calibri" w:eastAsia="Times New Roman" w:hAnsi="Calibri" w:cs="Times New Roman"/>
                <w:color w:val="000000"/>
              </w:rPr>
              <w:t>Q1</w:t>
            </w:r>
          </w:p>
        </w:tc>
        <w:tc>
          <w:tcPr>
            <w:tcW w:w="1567" w:type="dxa"/>
            <w:tcBorders>
              <w:top w:val="nil"/>
              <w:left w:val="nil"/>
              <w:bottom w:val="single" w:sz="4" w:space="0" w:color="auto"/>
              <w:right w:val="nil"/>
            </w:tcBorders>
            <w:shd w:val="clear" w:color="auto" w:fill="auto"/>
            <w:noWrap/>
            <w:vAlign w:val="bottom"/>
            <w:hideMark/>
          </w:tcPr>
          <w:p w14:paraId="4179D945" w14:textId="77777777" w:rsidR="00E852C7" w:rsidRPr="00E8717C" w:rsidRDefault="00E852C7" w:rsidP="00AA674D">
            <w:pPr>
              <w:ind w:firstLineChars="400" w:firstLine="960"/>
              <w:rPr>
                <w:rFonts w:ascii="Calibri" w:eastAsia="Times New Roman" w:hAnsi="Calibri" w:cs="Times New Roman"/>
                <w:color w:val="000000"/>
              </w:rPr>
            </w:pPr>
            <w:r w:rsidRPr="00E8717C">
              <w:rPr>
                <w:rFonts w:ascii="Calibri" w:eastAsia="Times New Roman" w:hAnsi="Calibri" w:cs="Times New Roman"/>
                <w:color w:val="000000"/>
              </w:rPr>
              <w:t>Q2</w:t>
            </w:r>
          </w:p>
        </w:tc>
        <w:tc>
          <w:tcPr>
            <w:tcW w:w="1567" w:type="dxa"/>
            <w:tcBorders>
              <w:top w:val="nil"/>
              <w:left w:val="nil"/>
              <w:bottom w:val="single" w:sz="4" w:space="0" w:color="auto"/>
              <w:right w:val="nil"/>
            </w:tcBorders>
            <w:shd w:val="clear" w:color="auto" w:fill="auto"/>
            <w:noWrap/>
            <w:vAlign w:val="bottom"/>
            <w:hideMark/>
          </w:tcPr>
          <w:p w14:paraId="7A90F664" w14:textId="77777777" w:rsidR="00E852C7" w:rsidRPr="00E8717C" w:rsidRDefault="00E852C7" w:rsidP="00AA674D">
            <w:pPr>
              <w:ind w:firstLineChars="400" w:firstLine="960"/>
              <w:rPr>
                <w:rFonts w:ascii="Calibri" w:eastAsia="Times New Roman" w:hAnsi="Calibri" w:cs="Times New Roman"/>
                <w:color w:val="000000"/>
              </w:rPr>
            </w:pPr>
            <w:r w:rsidRPr="00E8717C">
              <w:rPr>
                <w:rFonts w:ascii="Calibri" w:eastAsia="Times New Roman" w:hAnsi="Calibri" w:cs="Times New Roman"/>
                <w:color w:val="000000"/>
              </w:rPr>
              <w:t>Q3</w:t>
            </w:r>
          </w:p>
        </w:tc>
        <w:tc>
          <w:tcPr>
            <w:tcW w:w="1567" w:type="dxa"/>
            <w:tcBorders>
              <w:top w:val="nil"/>
              <w:left w:val="nil"/>
              <w:bottom w:val="single" w:sz="4" w:space="0" w:color="auto"/>
              <w:right w:val="nil"/>
            </w:tcBorders>
            <w:shd w:val="clear" w:color="auto" w:fill="auto"/>
            <w:noWrap/>
            <w:vAlign w:val="bottom"/>
            <w:hideMark/>
          </w:tcPr>
          <w:p w14:paraId="264961BA" w14:textId="77777777" w:rsidR="00E852C7" w:rsidRPr="00E8717C" w:rsidRDefault="00E852C7" w:rsidP="00AA674D">
            <w:pPr>
              <w:ind w:firstLineChars="400" w:firstLine="960"/>
              <w:rPr>
                <w:rFonts w:ascii="Calibri" w:eastAsia="Times New Roman" w:hAnsi="Calibri" w:cs="Times New Roman"/>
                <w:color w:val="000000"/>
              </w:rPr>
            </w:pPr>
            <w:r w:rsidRPr="00E8717C">
              <w:rPr>
                <w:rFonts w:ascii="Calibri" w:eastAsia="Times New Roman" w:hAnsi="Calibri" w:cs="Times New Roman"/>
                <w:color w:val="000000"/>
              </w:rPr>
              <w:t>Q4</w:t>
            </w:r>
          </w:p>
        </w:tc>
        <w:tc>
          <w:tcPr>
            <w:tcW w:w="1063" w:type="dxa"/>
            <w:tcBorders>
              <w:top w:val="nil"/>
              <w:left w:val="nil"/>
              <w:bottom w:val="single" w:sz="4" w:space="0" w:color="auto"/>
              <w:right w:val="nil"/>
            </w:tcBorders>
            <w:shd w:val="clear" w:color="auto" w:fill="auto"/>
            <w:noWrap/>
            <w:vAlign w:val="bottom"/>
            <w:hideMark/>
          </w:tcPr>
          <w:p w14:paraId="6836D8BC"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 xml:space="preserve">Total </w:t>
            </w:r>
          </w:p>
        </w:tc>
      </w:tr>
      <w:tr w:rsidR="00E852C7" w:rsidRPr="00E8717C" w14:paraId="66DEB04C" w14:textId="77777777" w:rsidTr="00AA674D">
        <w:trPr>
          <w:trHeight w:val="320"/>
        </w:trPr>
        <w:tc>
          <w:tcPr>
            <w:tcW w:w="1699" w:type="dxa"/>
            <w:tcBorders>
              <w:top w:val="nil"/>
              <w:left w:val="nil"/>
              <w:bottom w:val="nil"/>
              <w:right w:val="single" w:sz="4" w:space="0" w:color="auto"/>
            </w:tcBorders>
            <w:shd w:val="clear" w:color="auto" w:fill="auto"/>
            <w:noWrap/>
            <w:vAlign w:val="bottom"/>
            <w:hideMark/>
          </w:tcPr>
          <w:p w14:paraId="0D52BD9E" w14:textId="77777777" w:rsidR="00E852C7" w:rsidRPr="00E8717C" w:rsidRDefault="00E852C7" w:rsidP="00AA674D">
            <w:pPr>
              <w:rPr>
                <w:rFonts w:ascii="Calibri" w:eastAsia="Times New Roman" w:hAnsi="Calibri" w:cs="Times New Roman"/>
                <w:color w:val="000000"/>
              </w:rPr>
            </w:pPr>
            <w:r w:rsidRPr="00E8717C">
              <w:rPr>
                <w:rFonts w:ascii="Calibri" w:eastAsia="Times New Roman" w:hAnsi="Calibri" w:cs="Times New Roman"/>
                <w:color w:val="000000"/>
              </w:rPr>
              <w:t>Main Park</w:t>
            </w:r>
          </w:p>
        </w:tc>
        <w:tc>
          <w:tcPr>
            <w:tcW w:w="1897" w:type="dxa"/>
            <w:tcBorders>
              <w:top w:val="nil"/>
              <w:left w:val="nil"/>
              <w:bottom w:val="nil"/>
              <w:right w:val="nil"/>
            </w:tcBorders>
            <w:shd w:val="clear" w:color="auto" w:fill="auto"/>
            <w:noWrap/>
            <w:vAlign w:val="bottom"/>
            <w:hideMark/>
          </w:tcPr>
          <w:p w14:paraId="3A41035B"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0.08</w:t>
            </w:r>
          </w:p>
        </w:tc>
        <w:tc>
          <w:tcPr>
            <w:tcW w:w="1567" w:type="dxa"/>
            <w:tcBorders>
              <w:top w:val="nil"/>
              <w:left w:val="nil"/>
              <w:bottom w:val="nil"/>
              <w:right w:val="nil"/>
            </w:tcBorders>
            <w:shd w:val="clear" w:color="auto" w:fill="auto"/>
            <w:noWrap/>
            <w:vAlign w:val="bottom"/>
            <w:hideMark/>
          </w:tcPr>
          <w:p w14:paraId="6B2A934C"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0.06</w:t>
            </w:r>
          </w:p>
        </w:tc>
        <w:tc>
          <w:tcPr>
            <w:tcW w:w="1567" w:type="dxa"/>
            <w:tcBorders>
              <w:top w:val="nil"/>
              <w:left w:val="nil"/>
              <w:bottom w:val="nil"/>
              <w:right w:val="nil"/>
            </w:tcBorders>
            <w:shd w:val="clear" w:color="auto" w:fill="auto"/>
            <w:noWrap/>
            <w:vAlign w:val="bottom"/>
            <w:hideMark/>
          </w:tcPr>
          <w:p w14:paraId="5B61B143"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0.10</w:t>
            </w:r>
          </w:p>
        </w:tc>
        <w:tc>
          <w:tcPr>
            <w:tcW w:w="1567" w:type="dxa"/>
            <w:tcBorders>
              <w:top w:val="nil"/>
              <w:left w:val="nil"/>
              <w:bottom w:val="nil"/>
              <w:right w:val="nil"/>
            </w:tcBorders>
            <w:shd w:val="clear" w:color="auto" w:fill="auto"/>
            <w:noWrap/>
            <w:vAlign w:val="bottom"/>
            <w:hideMark/>
          </w:tcPr>
          <w:p w14:paraId="4DDA2B7C"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0.06</w:t>
            </w:r>
          </w:p>
        </w:tc>
        <w:tc>
          <w:tcPr>
            <w:tcW w:w="1063" w:type="dxa"/>
            <w:tcBorders>
              <w:top w:val="nil"/>
              <w:left w:val="nil"/>
              <w:bottom w:val="nil"/>
              <w:right w:val="nil"/>
            </w:tcBorders>
            <w:shd w:val="clear" w:color="auto" w:fill="auto"/>
            <w:noWrap/>
            <w:vAlign w:val="bottom"/>
            <w:hideMark/>
          </w:tcPr>
          <w:p w14:paraId="45C30D36"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0.07</w:t>
            </w:r>
          </w:p>
        </w:tc>
      </w:tr>
      <w:tr w:rsidR="00E852C7" w:rsidRPr="00E8717C" w14:paraId="5714F401" w14:textId="77777777" w:rsidTr="00AA674D">
        <w:trPr>
          <w:trHeight w:val="320"/>
        </w:trPr>
        <w:tc>
          <w:tcPr>
            <w:tcW w:w="1699" w:type="dxa"/>
            <w:tcBorders>
              <w:top w:val="nil"/>
              <w:left w:val="nil"/>
              <w:bottom w:val="nil"/>
              <w:right w:val="single" w:sz="4" w:space="0" w:color="auto"/>
            </w:tcBorders>
            <w:shd w:val="clear" w:color="auto" w:fill="auto"/>
            <w:noWrap/>
            <w:vAlign w:val="bottom"/>
            <w:hideMark/>
          </w:tcPr>
          <w:p w14:paraId="081E5218" w14:textId="77777777" w:rsidR="00E852C7" w:rsidRPr="00E8717C" w:rsidRDefault="00E852C7" w:rsidP="00AA674D">
            <w:pPr>
              <w:rPr>
                <w:rFonts w:ascii="Calibri" w:eastAsia="Times New Roman" w:hAnsi="Calibri" w:cs="Times New Roman"/>
                <w:color w:val="000000"/>
              </w:rPr>
            </w:pPr>
            <w:r w:rsidRPr="00E8717C">
              <w:rPr>
                <w:rFonts w:ascii="Calibri" w:eastAsia="Times New Roman" w:hAnsi="Calibri" w:cs="Times New Roman"/>
                <w:color w:val="000000"/>
              </w:rPr>
              <w:t>Trail Center</w:t>
            </w:r>
          </w:p>
        </w:tc>
        <w:tc>
          <w:tcPr>
            <w:tcW w:w="1897" w:type="dxa"/>
            <w:tcBorders>
              <w:top w:val="nil"/>
              <w:left w:val="nil"/>
              <w:bottom w:val="nil"/>
              <w:right w:val="nil"/>
            </w:tcBorders>
            <w:shd w:val="clear" w:color="auto" w:fill="auto"/>
            <w:noWrap/>
            <w:vAlign w:val="bottom"/>
            <w:hideMark/>
          </w:tcPr>
          <w:p w14:paraId="0E400736"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0.15</w:t>
            </w:r>
          </w:p>
        </w:tc>
        <w:tc>
          <w:tcPr>
            <w:tcW w:w="1567" w:type="dxa"/>
            <w:tcBorders>
              <w:top w:val="nil"/>
              <w:left w:val="nil"/>
              <w:bottom w:val="nil"/>
              <w:right w:val="nil"/>
            </w:tcBorders>
            <w:shd w:val="clear" w:color="auto" w:fill="auto"/>
            <w:noWrap/>
            <w:vAlign w:val="bottom"/>
            <w:hideMark/>
          </w:tcPr>
          <w:p w14:paraId="496167B3"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0.19</w:t>
            </w:r>
          </w:p>
        </w:tc>
        <w:tc>
          <w:tcPr>
            <w:tcW w:w="1567" w:type="dxa"/>
            <w:tcBorders>
              <w:top w:val="nil"/>
              <w:left w:val="nil"/>
              <w:bottom w:val="nil"/>
              <w:right w:val="nil"/>
            </w:tcBorders>
            <w:shd w:val="clear" w:color="auto" w:fill="auto"/>
            <w:noWrap/>
            <w:vAlign w:val="bottom"/>
            <w:hideMark/>
          </w:tcPr>
          <w:p w14:paraId="38D42A00"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0.14</w:t>
            </w:r>
          </w:p>
        </w:tc>
        <w:tc>
          <w:tcPr>
            <w:tcW w:w="1567" w:type="dxa"/>
            <w:tcBorders>
              <w:top w:val="nil"/>
              <w:left w:val="nil"/>
              <w:bottom w:val="nil"/>
              <w:right w:val="nil"/>
            </w:tcBorders>
            <w:shd w:val="clear" w:color="auto" w:fill="auto"/>
            <w:noWrap/>
            <w:vAlign w:val="bottom"/>
            <w:hideMark/>
          </w:tcPr>
          <w:p w14:paraId="3E5C1206"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0.09</w:t>
            </w:r>
          </w:p>
        </w:tc>
        <w:tc>
          <w:tcPr>
            <w:tcW w:w="1063" w:type="dxa"/>
            <w:tcBorders>
              <w:top w:val="nil"/>
              <w:left w:val="nil"/>
              <w:bottom w:val="nil"/>
              <w:right w:val="nil"/>
            </w:tcBorders>
            <w:shd w:val="clear" w:color="auto" w:fill="auto"/>
            <w:noWrap/>
            <w:vAlign w:val="bottom"/>
            <w:hideMark/>
          </w:tcPr>
          <w:p w14:paraId="6D2C49B7"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0.15</w:t>
            </w:r>
          </w:p>
        </w:tc>
      </w:tr>
      <w:tr w:rsidR="00E852C7" w:rsidRPr="00E8717C" w14:paraId="60CF528E" w14:textId="77777777" w:rsidTr="00AA674D">
        <w:trPr>
          <w:trHeight w:val="320"/>
        </w:trPr>
        <w:tc>
          <w:tcPr>
            <w:tcW w:w="1699" w:type="dxa"/>
            <w:tcBorders>
              <w:top w:val="nil"/>
              <w:left w:val="nil"/>
              <w:bottom w:val="nil"/>
              <w:right w:val="single" w:sz="4" w:space="0" w:color="auto"/>
            </w:tcBorders>
            <w:shd w:val="clear" w:color="auto" w:fill="auto"/>
            <w:noWrap/>
            <w:vAlign w:val="bottom"/>
            <w:hideMark/>
          </w:tcPr>
          <w:p w14:paraId="59E1B463" w14:textId="77777777" w:rsidR="00E852C7" w:rsidRPr="00E8717C" w:rsidRDefault="00E852C7" w:rsidP="00AA674D">
            <w:pPr>
              <w:rPr>
                <w:rFonts w:ascii="Calibri" w:eastAsia="Times New Roman" w:hAnsi="Calibri" w:cs="Times New Roman"/>
                <w:color w:val="000000"/>
              </w:rPr>
            </w:pPr>
            <w:r w:rsidRPr="00E8717C">
              <w:rPr>
                <w:rFonts w:ascii="Calibri" w:eastAsia="Times New Roman" w:hAnsi="Calibri" w:cs="Times New Roman"/>
                <w:color w:val="000000"/>
              </w:rPr>
              <w:t>Dam Parking</w:t>
            </w:r>
          </w:p>
        </w:tc>
        <w:tc>
          <w:tcPr>
            <w:tcW w:w="1897" w:type="dxa"/>
            <w:tcBorders>
              <w:top w:val="nil"/>
              <w:left w:val="nil"/>
              <w:bottom w:val="nil"/>
              <w:right w:val="nil"/>
            </w:tcBorders>
            <w:shd w:val="clear" w:color="auto" w:fill="auto"/>
            <w:noWrap/>
            <w:vAlign w:val="bottom"/>
            <w:hideMark/>
          </w:tcPr>
          <w:p w14:paraId="42D214A1"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0.11</w:t>
            </w:r>
          </w:p>
        </w:tc>
        <w:tc>
          <w:tcPr>
            <w:tcW w:w="1567" w:type="dxa"/>
            <w:tcBorders>
              <w:top w:val="nil"/>
              <w:left w:val="nil"/>
              <w:bottom w:val="nil"/>
              <w:right w:val="nil"/>
            </w:tcBorders>
            <w:shd w:val="clear" w:color="auto" w:fill="auto"/>
            <w:noWrap/>
            <w:vAlign w:val="bottom"/>
            <w:hideMark/>
          </w:tcPr>
          <w:p w14:paraId="106E3617"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0.11</w:t>
            </w:r>
          </w:p>
        </w:tc>
        <w:tc>
          <w:tcPr>
            <w:tcW w:w="1567" w:type="dxa"/>
            <w:tcBorders>
              <w:top w:val="nil"/>
              <w:left w:val="nil"/>
              <w:bottom w:val="nil"/>
              <w:right w:val="nil"/>
            </w:tcBorders>
            <w:shd w:val="clear" w:color="auto" w:fill="auto"/>
            <w:noWrap/>
            <w:vAlign w:val="bottom"/>
            <w:hideMark/>
          </w:tcPr>
          <w:p w14:paraId="6F1DBC69"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0.13</w:t>
            </w:r>
          </w:p>
        </w:tc>
        <w:tc>
          <w:tcPr>
            <w:tcW w:w="1567" w:type="dxa"/>
            <w:tcBorders>
              <w:top w:val="nil"/>
              <w:left w:val="nil"/>
              <w:bottom w:val="nil"/>
              <w:right w:val="nil"/>
            </w:tcBorders>
            <w:shd w:val="clear" w:color="auto" w:fill="auto"/>
            <w:noWrap/>
            <w:vAlign w:val="bottom"/>
            <w:hideMark/>
          </w:tcPr>
          <w:p w14:paraId="62D200DA"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0.16</w:t>
            </w:r>
          </w:p>
        </w:tc>
        <w:tc>
          <w:tcPr>
            <w:tcW w:w="1063" w:type="dxa"/>
            <w:tcBorders>
              <w:top w:val="nil"/>
              <w:left w:val="nil"/>
              <w:bottom w:val="nil"/>
              <w:right w:val="nil"/>
            </w:tcBorders>
            <w:shd w:val="clear" w:color="auto" w:fill="auto"/>
            <w:noWrap/>
            <w:vAlign w:val="bottom"/>
            <w:hideMark/>
          </w:tcPr>
          <w:p w14:paraId="2D779D03"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0.13</w:t>
            </w:r>
          </w:p>
        </w:tc>
      </w:tr>
      <w:tr w:rsidR="00E852C7" w:rsidRPr="00E8717C" w14:paraId="29B82643" w14:textId="77777777" w:rsidTr="00AA674D">
        <w:trPr>
          <w:trHeight w:val="320"/>
        </w:trPr>
        <w:tc>
          <w:tcPr>
            <w:tcW w:w="1699" w:type="dxa"/>
            <w:tcBorders>
              <w:top w:val="nil"/>
              <w:left w:val="nil"/>
              <w:bottom w:val="nil"/>
              <w:right w:val="single" w:sz="4" w:space="0" w:color="auto"/>
            </w:tcBorders>
            <w:shd w:val="clear" w:color="auto" w:fill="auto"/>
            <w:noWrap/>
            <w:vAlign w:val="bottom"/>
            <w:hideMark/>
          </w:tcPr>
          <w:p w14:paraId="0C9F02F5" w14:textId="77777777" w:rsidR="00E852C7" w:rsidRPr="00E8717C" w:rsidRDefault="00E852C7" w:rsidP="00AA674D">
            <w:pPr>
              <w:rPr>
                <w:rFonts w:ascii="Calibri" w:eastAsia="Times New Roman" w:hAnsi="Calibri" w:cs="Times New Roman"/>
                <w:color w:val="000000"/>
              </w:rPr>
            </w:pPr>
            <w:r w:rsidRPr="00E8717C">
              <w:rPr>
                <w:rFonts w:ascii="Calibri" w:eastAsia="Times New Roman" w:hAnsi="Calibri" w:cs="Times New Roman"/>
                <w:color w:val="000000"/>
              </w:rPr>
              <w:t>Sled Hill</w:t>
            </w:r>
          </w:p>
        </w:tc>
        <w:tc>
          <w:tcPr>
            <w:tcW w:w="1897" w:type="dxa"/>
            <w:tcBorders>
              <w:top w:val="nil"/>
              <w:left w:val="nil"/>
              <w:bottom w:val="nil"/>
              <w:right w:val="nil"/>
            </w:tcBorders>
            <w:shd w:val="clear" w:color="auto" w:fill="auto"/>
            <w:noWrap/>
            <w:vAlign w:val="bottom"/>
            <w:hideMark/>
          </w:tcPr>
          <w:p w14:paraId="4B411DA9"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0.23</w:t>
            </w:r>
          </w:p>
        </w:tc>
        <w:tc>
          <w:tcPr>
            <w:tcW w:w="1567" w:type="dxa"/>
            <w:tcBorders>
              <w:top w:val="nil"/>
              <w:left w:val="nil"/>
              <w:bottom w:val="nil"/>
              <w:right w:val="nil"/>
            </w:tcBorders>
            <w:shd w:val="clear" w:color="auto" w:fill="auto"/>
            <w:noWrap/>
            <w:vAlign w:val="bottom"/>
            <w:hideMark/>
          </w:tcPr>
          <w:p w14:paraId="1C1BC020"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0.11</w:t>
            </w:r>
          </w:p>
        </w:tc>
        <w:tc>
          <w:tcPr>
            <w:tcW w:w="1567" w:type="dxa"/>
            <w:tcBorders>
              <w:top w:val="nil"/>
              <w:left w:val="nil"/>
              <w:bottom w:val="nil"/>
              <w:right w:val="nil"/>
            </w:tcBorders>
            <w:shd w:val="clear" w:color="auto" w:fill="auto"/>
            <w:noWrap/>
            <w:vAlign w:val="bottom"/>
            <w:hideMark/>
          </w:tcPr>
          <w:p w14:paraId="6FA65C65"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0.13</w:t>
            </w:r>
          </w:p>
        </w:tc>
        <w:tc>
          <w:tcPr>
            <w:tcW w:w="1567" w:type="dxa"/>
            <w:tcBorders>
              <w:top w:val="nil"/>
              <w:left w:val="nil"/>
              <w:bottom w:val="nil"/>
              <w:right w:val="nil"/>
            </w:tcBorders>
            <w:shd w:val="clear" w:color="auto" w:fill="auto"/>
            <w:noWrap/>
            <w:vAlign w:val="bottom"/>
            <w:hideMark/>
          </w:tcPr>
          <w:p w14:paraId="5C33878D"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0.13</w:t>
            </w:r>
          </w:p>
        </w:tc>
        <w:tc>
          <w:tcPr>
            <w:tcW w:w="1063" w:type="dxa"/>
            <w:tcBorders>
              <w:top w:val="nil"/>
              <w:left w:val="nil"/>
              <w:bottom w:val="nil"/>
              <w:right w:val="nil"/>
            </w:tcBorders>
            <w:shd w:val="clear" w:color="auto" w:fill="auto"/>
            <w:noWrap/>
            <w:vAlign w:val="bottom"/>
            <w:hideMark/>
          </w:tcPr>
          <w:p w14:paraId="3FE4059D"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0.14</w:t>
            </w:r>
          </w:p>
        </w:tc>
      </w:tr>
      <w:tr w:rsidR="00E852C7" w:rsidRPr="00E8717C" w14:paraId="7AF59191" w14:textId="77777777" w:rsidTr="00AA674D">
        <w:trPr>
          <w:trHeight w:val="320"/>
        </w:trPr>
        <w:tc>
          <w:tcPr>
            <w:tcW w:w="1699" w:type="dxa"/>
            <w:tcBorders>
              <w:top w:val="nil"/>
              <w:left w:val="nil"/>
              <w:bottom w:val="nil"/>
              <w:right w:val="single" w:sz="4" w:space="0" w:color="auto"/>
            </w:tcBorders>
            <w:shd w:val="clear" w:color="auto" w:fill="auto"/>
            <w:noWrap/>
            <w:vAlign w:val="bottom"/>
            <w:hideMark/>
          </w:tcPr>
          <w:p w14:paraId="18A0A418" w14:textId="77777777" w:rsidR="00E852C7" w:rsidRPr="00E8717C" w:rsidRDefault="00E852C7" w:rsidP="00AA674D">
            <w:pPr>
              <w:rPr>
                <w:rFonts w:ascii="Calibri" w:eastAsia="Times New Roman" w:hAnsi="Calibri" w:cs="Times New Roman"/>
                <w:color w:val="000000"/>
              </w:rPr>
            </w:pPr>
            <w:r w:rsidRPr="00E8717C">
              <w:rPr>
                <w:rFonts w:ascii="Calibri" w:eastAsia="Times New Roman" w:hAnsi="Calibri" w:cs="Times New Roman"/>
                <w:color w:val="000000"/>
              </w:rPr>
              <w:t>NC Entrance</w:t>
            </w:r>
          </w:p>
        </w:tc>
        <w:tc>
          <w:tcPr>
            <w:tcW w:w="1897" w:type="dxa"/>
            <w:tcBorders>
              <w:top w:val="nil"/>
              <w:left w:val="nil"/>
              <w:bottom w:val="nil"/>
              <w:right w:val="nil"/>
            </w:tcBorders>
            <w:shd w:val="clear" w:color="auto" w:fill="auto"/>
            <w:noWrap/>
            <w:vAlign w:val="bottom"/>
            <w:hideMark/>
          </w:tcPr>
          <w:p w14:paraId="65C3F8B2"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0.10</w:t>
            </w:r>
          </w:p>
        </w:tc>
        <w:tc>
          <w:tcPr>
            <w:tcW w:w="1567" w:type="dxa"/>
            <w:tcBorders>
              <w:top w:val="nil"/>
              <w:left w:val="nil"/>
              <w:bottom w:val="nil"/>
              <w:right w:val="nil"/>
            </w:tcBorders>
            <w:shd w:val="clear" w:color="auto" w:fill="auto"/>
            <w:noWrap/>
            <w:vAlign w:val="bottom"/>
            <w:hideMark/>
          </w:tcPr>
          <w:p w14:paraId="2A28A58C"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0.08</w:t>
            </w:r>
          </w:p>
        </w:tc>
        <w:tc>
          <w:tcPr>
            <w:tcW w:w="1567" w:type="dxa"/>
            <w:tcBorders>
              <w:top w:val="nil"/>
              <w:left w:val="nil"/>
              <w:bottom w:val="nil"/>
              <w:right w:val="nil"/>
            </w:tcBorders>
            <w:shd w:val="clear" w:color="auto" w:fill="auto"/>
            <w:noWrap/>
            <w:vAlign w:val="bottom"/>
            <w:hideMark/>
          </w:tcPr>
          <w:p w14:paraId="7463C060"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0.21</w:t>
            </w:r>
          </w:p>
        </w:tc>
        <w:tc>
          <w:tcPr>
            <w:tcW w:w="1567" w:type="dxa"/>
            <w:tcBorders>
              <w:top w:val="nil"/>
              <w:left w:val="nil"/>
              <w:bottom w:val="nil"/>
              <w:right w:val="nil"/>
            </w:tcBorders>
            <w:shd w:val="clear" w:color="auto" w:fill="auto"/>
            <w:noWrap/>
            <w:vAlign w:val="bottom"/>
            <w:hideMark/>
          </w:tcPr>
          <w:p w14:paraId="31D81EE2"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0.06</w:t>
            </w:r>
          </w:p>
        </w:tc>
        <w:tc>
          <w:tcPr>
            <w:tcW w:w="1063" w:type="dxa"/>
            <w:tcBorders>
              <w:top w:val="nil"/>
              <w:left w:val="nil"/>
              <w:bottom w:val="nil"/>
              <w:right w:val="nil"/>
            </w:tcBorders>
            <w:shd w:val="clear" w:color="auto" w:fill="auto"/>
            <w:noWrap/>
            <w:vAlign w:val="bottom"/>
            <w:hideMark/>
          </w:tcPr>
          <w:p w14:paraId="4B258F41"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0.12</w:t>
            </w:r>
          </w:p>
        </w:tc>
      </w:tr>
      <w:tr w:rsidR="00E852C7" w:rsidRPr="00E8717C" w14:paraId="2705C399" w14:textId="77777777" w:rsidTr="00AA674D">
        <w:trPr>
          <w:trHeight w:val="320"/>
        </w:trPr>
        <w:tc>
          <w:tcPr>
            <w:tcW w:w="1699" w:type="dxa"/>
            <w:tcBorders>
              <w:top w:val="nil"/>
              <w:left w:val="nil"/>
              <w:bottom w:val="nil"/>
              <w:right w:val="single" w:sz="4" w:space="0" w:color="auto"/>
            </w:tcBorders>
            <w:shd w:val="clear" w:color="auto" w:fill="auto"/>
            <w:noWrap/>
            <w:vAlign w:val="bottom"/>
            <w:hideMark/>
          </w:tcPr>
          <w:p w14:paraId="39DE6987" w14:textId="77777777" w:rsidR="00E852C7" w:rsidRPr="00E8717C" w:rsidRDefault="00E852C7" w:rsidP="00AA674D">
            <w:pPr>
              <w:rPr>
                <w:rFonts w:ascii="Calibri" w:eastAsia="Times New Roman" w:hAnsi="Calibri" w:cs="Times New Roman"/>
                <w:color w:val="000000"/>
              </w:rPr>
            </w:pPr>
            <w:r w:rsidRPr="00E8717C">
              <w:rPr>
                <w:rFonts w:ascii="Calibri" w:eastAsia="Times New Roman" w:hAnsi="Calibri" w:cs="Times New Roman"/>
                <w:color w:val="000000"/>
              </w:rPr>
              <w:t>Old Mill</w:t>
            </w:r>
          </w:p>
        </w:tc>
        <w:tc>
          <w:tcPr>
            <w:tcW w:w="1897" w:type="dxa"/>
            <w:tcBorders>
              <w:top w:val="nil"/>
              <w:left w:val="nil"/>
              <w:bottom w:val="nil"/>
              <w:right w:val="nil"/>
            </w:tcBorders>
            <w:shd w:val="clear" w:color="auto" w:fill="auto"/>
            <w:noWrap/>
            <w:vAlign w:val="bottom"/>
            <w:hideMark/>
          </w:tcPr>
          <w:p w14:paraId="248331A4"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0.05</w:t>
            </w:r>
          </w:p>
        </w:tc>
        <w:tc>
          <w:tcPr>
            <w:tcW w:w="1567" w:type="dxa"/>
            <w:tcBorders>
              <w:top w:val="nil"/>
              <w:left w:val="nil"/>
              <w:bottom w:val="nil"/>
              <w:right w:val="nil"/>
            </w:tcBorders>
            <w:shd w:val="clear" w:color="auto" w:fill="auto"/>
            <w:noWrap/>
            <w:vAlign w:val="bottom"/>
            <w:hideMark/>
          </w:tcPr>
          <w:p w14:paraId="58143300"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0.14</w:t>
            </w:r>
          </w:p>
        </w:tc>
        <w:tc>
          <w:tcPr>
            <w:tcW w:w="1567" w:type="dxa"/>
            <w:tcBorders>
              <w:top w:val="nil"/>
              <w:left w:val="nil"/>
              <w:bottom w:val="nil"/>
              <w:right w:val="nil"/>
            </w:tcBorders>
            <w:shd w:val="clear" w:color="auto" w:fill="auto"/>
            <w:noWrap/>
            <w:vAlign w:val="bottom"/>
            <w:hideMark/>
          </w:tcPr>
          <w:p w14:paraId="19F55959"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0.14</w:t>
            </w:r>
          </w:p>
        </w:tc>
        <w:tc>
          <w:tcPr>
            <w:tcW w:w="1567" w:type="dxa"/>
            <w:tcBorders>
              <w:top w:val="nil"/>
              <w:left w:val="nil"/>
              <w:bottom w:val="nil"/>
              <w:right w:val="nil"/>
            </w:tcBorders>
            <w:shd w:val="clear" w:color="auto" w:fill="auto"/>
            <w:noWrap/>
            <w:vAlign w:val="bottom"/>
            <w:hideMark/>
          </w:tcPr>
          <w:p w14:paraId="747176B5"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0.15</w:t>
            </w:r>
          </w:p>
        </w:tc>
        <w:tc>
          <w:tcPr>
            <w:tcW w:w="1063" w:type="dxa"/>
            <w:tcBorders>
              <w:top w:val="nil"/>
              <w:left w:val="nil"/>
              <w:bottom w:val="nil"/>
              <w:right w:val="nil"/>
            </w:tcBorders>
            <w:shd w:val="clear" w:color="auto" w:fill="auto"/>
            <w:noWrap/>
            <w:vAlign w:val="bottom"/>
            <w:hideMark/>
          </w:tcPr>
          <w:p w14:paraId="3FE3F39E" w14:textId="77777777" w:rsidR="00E852C7" w:rsidRPr="00E8717C" w:rsidRDefault="00E852C7" w:rsidP="00AA674D">
            <w:pPr>
              <w:jc w:val="right"/>
              <w:rPr>
                <w:rFonts w:ascii="Calibri" w:eastAsia="Times New Roman" w:hAnsi="Calibri" w:cs="Times New Roman"/>
                <w:color w:val="000000"/>
              </w:rPr>
            </w:pPr>
            <w:r w:rsidRPr="00E8717C">
              <w:rPr>
                <w:rFonts w:ascii="Calibri" w:eastAsia="Times New Roman" w:hAnsi="Calibri" w:cs="Times New Roman"/>
                <w:color w:val="000000"/>
              </w:rPr>
              <w:t>0.13</w:t>
            </w:r>
          </w:p>
        </w:tc>
      </w:tr>
    </w:tbl>
    <w:p w14:paraId="38CFBD21" w14:textId="2430286A" w:rsidR="00E852C7" w:rsidRPr="007F2090" w:rsidRDefault="00B67B27" w:rsidP="00B67B27">
      <w:pPr>
        <w:jc w:val="center"/>
        <w:rPr>
          <w:b/>
          <w:sz w:val="20"/>
          <w:szCs w:val="20"/>
        </w:rPr>
      </w:pPr>
      <w:r w:rsidRPr="007F2090">
        <w:rPr>
          <w:b/>
          <w:sz w:val="20"/>
          <w:szCs w:val="20"/>
        </w:rPr>
        <w:t>Table 1: Mean Absolute Error per Average</w:t>
      </w:r>
      <w:r w:rsidR="005265F8">
        <w:rPr>
          <w:b/>
          <w:sz w:val="20"/>
          <w:szCs w:val="20"/>
        </w:rPr>
        <w:t xml:space="preserve"> </w:t>
      </w:r>
      <w:r w:rsidRPr="007F2090">
        <w:rPr>
          <w:b/>
          <w:sz w:val="20"/>
          <w:szCs w:val="20"/>
        </w:rPr>
        <w:t>Attendance</w:t>
      </w:r>
    </w:p>
    <w:p w14:paraId="60D68746" w14:textId="77777777" w:rsidR="00B0093F" w:rsidRDefault="00B0093F"/>
    <w:p w14:paraId="0B471A7E" w14:textId="7E93C085" w:rsidR="006A5F66" w:rsidRDefault="00852B2D">
      <w:r>
        <w:rPr>
          <w:b/>
        </w:rPr>
        <w:t>Results</w:t>
      </w:r>
    </w:p>
    <w:p w14:paraId="625FEEB1" w14:textId="77777777" w:rsidR="006A5F66" w:rsidRDefault="006A5F66"/>
    <w:p w14:paraId="1554DEC2" w14:textId="51F174C6" w:rsidR="006A5F66" w:rsidRPr="004E3BEB" w:rsidRDefault="00866656" w:rsidP="00376FC8">
      <w:pPr>
        <w:tabs>
          <w:tab w:val="left" w:pos="1120"/>
          <w:tab w:val="center" w:pos="4680"/>
        </w:tabs>
        <w:jc w:val="both"/>
      </w:pPr>
      <w:r>
        <w:t xml:space="preserve">As </w:t>
      </w:r>
      <w:r w:rsidR="0082388A">
        <w:t>shown</w:t>
      </w:r>
      <w:r>
        <w:t xml:space="preserve"> in </w:t>
      </w:r>
      <w:r w:rsidR="0082388A">
        <w:t>figure</w:t>
      </w:r>
      <w:r>
        <w:t xml:space="preserve"> 1, Only </w:t>
      </w:r>
      <w:r w:rsidR="0082388A">
        <w:t xml:space="preserve">the </w:t>
      </w:r>
      <w:r>
        <w:t xml:space="preserve">Main Park gate has average MAE within </w:t>
      </w:r>
      <m:oMath>
        <m:r>
          <w:rPr>
            <w:rFonts w:ascii="Cambria Math" w:hAnsi="Cambria Math"/>
          </w:rPr>
          <m:t>±10%</m:t>
        </m:r>
      </m:oMath>
      <w:r>
        <w:rPr>
          <w:rFonts w:eastAsiaTheme="minorEastAsia"/>
        </w:rPr>
        <w:t xml:space="preserve"> accuracy</w:t>
      </w:r>
      <w:r w:rsidR="0082388A">
        <w:rPr>
          <w:rFonts w:eastAsiaTheme="minorEastAsia"/>
        </w:rPr>
        <w:t>. Thus,</w:t>
      </w:r>
      <w:r w:rsidR="004E3BEB">
        <w:rPr>
          <w:rFonts w:eastAsiaTheme="minorEastAsia"/>
        </w:rPr>
        <w:t xml:space="preserve"> a</w:t>
      </w:r>
      <w:r w:rsidR="0082388A">
        <w:rPr>
          <w:rFonts w:eastAsiaTheme="minorEastAsia"/>
        </w:rPr>
        <w:t xml:space="preserve"> </w:t>
      </w:r>
      <w:r w:rsidR="004E3BEB">
        <w:t xml:space="preserve">simple linear regression model with Germantown Park’s total quarterly attendance for </w:t>
      </w:r>
      <w:r w:rsidR="002717F8">
        <w:t>each year</w:t>
      </w:r>
      <w:r w:rsidR="004E3BEB">
        <w:t xml:space="preserve"> as the dependent variable and Main Park gate’s quarterly attendance for each year as the independent variable </w:t>
      </w:r>
      <w:r w:rsidR="0082388A">
        <w:rPr>
          <w:rFonts w:eastAsiaTheme="minorEastAsia"/>
        </w:rPr>
        <w:t>is utilized to make predictions</w:t>
      </w:r>
      <w:r>
        <w:rPr>
          <w:rFonts w:eastAsiaTheme="minorEastAsia"/>
        </w:rPr>
        <w:t xml:space="preserve"> </w:t>
      </w:r>
      <w:r w:rsidR="0082388A">
        <w:rPr>
          <w:rFonts w:eastAsiaTheme="minorEastAsia"/>
        </w:rPr>
        <w:t xml:space="preserve">on the total yearly attendance. </w:t>
      </w:r>
    </w:p>
    <w:p w14:paraId="06C49527" w14:textId="2AC91713" w:rsidR="0082388A" w:rsidRDefault="0082388A">
      <w:pPr>
        <w:rPr>
          <w:rFonts w:eastAsiaTheme="minorEastAsia"/>
        </w:rPr>
      </w:pPr>
      <w:r w:rsidRPr="0082388A">
        <w:rPr>
          <w:noProof/>
        </w:rPr>
        <w:drawing>
          <wp:anchor distT="0" distB="0" distL="114300" distR="114300" simplePos="0" relativeHeight="251658240" behindDoc="1" locked="0" layoutInCell="1" allowOverlap="1" wp14:anchorId="10A4C88B" wp14:editId="4F41EAC0">
            <wp:simplePos x="0" y="0"/>
            <wp:positionH relativeFrom="margin">
              <wp:posOffset>1524000</wp:posOffset>
            </wp:positionH>
            <wp:positionV relativeFrom="paragraph">
              <wp:posOffset>161925</wp:posOffset>
            </wp:positionV>
            <wp:extent cx="2911368" cy="2783840"/>
            <wp:effectExtent l="0" t="0" r="1016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36224" cy="2807607"/>
                    </a:xfrm>
                    <a:prstGeom prst="rect">
                      <a:avLst/>
                    </a:prstGeom>
                  </pic:spPr>
                </pic:pic>
              </a:graphicData>
            </a:graphic>
            <wp14:sizeRelH relativeFrom="page">
              <wp14:pctWidth>0</wp14:pctWidth>
            </wp14:sizeRelH>
            <wp14:sizeRelV relativeFrom="page">
              <wp14:pctHeight>0</wp14:pctHeight>
            </wp14:sizeRelV>
          </wp:anchor>
        </w:drawing>
      </w:r>
    </w:p>
    <w:p w14:paraId="4EE6A73A" w14:textId="6F0EEDE3" w:rsidR="0082388A" w:rsidRPr="006A5F66" w:rsidRDefault="0082388A"/>
    <w:p w14:paraId="24AAFC52" w14:textId="36146C5D" w:rsidR="00F84313" w:rsidRDefault="00F84313"/>
    <w:p w14:paraId="4E9E8CF0" w14:textId="00F7B3D5" w:rsidR="00F84313" w:rsidRDefault="00F84313"/>
    <w:p w14:paraId="66D297D7" w14:textId="77777777" w:rsidR="0082388A" w:rsidRDefault="0082388A"/>
    <w:p w14:paraId="28372E35" w14:textId="77777777" w:rsidR="0082388A" w:rsidRDefault="0082388A"/>
    <w:p w14:paraId="67F45DCD" w14:textId="77777777" w:rsidR="0082388A" w:rsidRDefault="0082388A"/>
    <w:p w14:paraId="24BF644E" w14:textId="77777777" w:rsidR="0082388A" w:rsidRDefault="0082388A"/>
    <w:p w14:paraId="5D77CE37" w14:textId="77777777" w:rsidR="0082388A" w:rsidRDefault="0082388A"/>
    <w:p w14:paraId="582EF191" w14:textId="77777777" w:rsidR="0082388A" w:rsidRDefault="0082388A"/>
    <w:p w14:paraId="1BF61C7F" w14:textId="77777777" w:rsidR="0082388A" w:rsidRDefault="0082388A"/>
    <w:p w14:paraId="4BAFFF4A" w14:textId="77777777" w:rsidR="0082388A" w:rsidRDefault="0082388A"/>
    <w:p w14:paraId="39E19AD7" w14:textId="77777777" w:rsidR="0082388A" w:rsidRDefault="0082388A"/>
    <w:p w14:paraId="1EFE0598" w14:textId="77777777" w:rsidR="0082388A" w:rsidRDefault="0082388A"/>
    <w:p w14:paraId="122969BE" w14:textId="77777777" w:rsidR="0082388A" w:rsidRDefault="0082388A"/>
    <w:p w14:paraId="12973ED0" w14:textId="77777777" w:rsidR="0040288D" w:rsidRDefault="0040288D" w:rsidP="0040288D">
      <w:pPr>
        <w:jc w:val="center"/>
        <w:rPr>
          <w:sz w:val="20"/>
          <w:szCs w:val="20"/>
        </w:rPr>
      </w:pPr>
    </w:p>
    <w:p w14:paraId="453D43CA" w14:textId="24E7B4AC" w:rsidR="0082388A" w:rsidRDefault="00936FF6" w:rsidP="00936FF6">
      <w:pPr>
        <w:tabs>
          <w:tab w:val="left" w:pos="1120"/>
          <w:tab w:val="center" w:pos="4680"/>
        </w:tabs>
        <w:rPr>
          <w:sz w:val="20"/>
          <w:szCs w:val="20"/>
        </w:rPr>
      </w:pPr>
      <w:r>
        <w:rPr>
          <w:b/>
          <w:sz w:val="20"/>
          <w:szCs w:val="20"/>
        </w:rPr>
        <w:tab/>
      </w:r>
      <w:r>
        <w:rPr>
          <w:b/>
          <w:sz w:val="20"/>
          <w:szCs w:val="20"/>
        </w:rPr>
        <w:tab/>
      </w:r>
      <w:r w:rsidR="0040288D">
        <w:rPr>
          <w:b/>
          <w:sz w:val="20"/>
          <w:szCs w:val="20"/>
        </w:rPr>
        <w:t>Figure 1: MAE</w:t>
      </w:r>
      <w:r w:rsidR="0040288D" w:rsidRPr="0040288D">
        <w:rPr>
          <w:b/>
          <w:sz w:val="20"/>
          <w:szCs w:val="20"/>
        </w:rPr>
        <w:t xml:space="preserve"> per Average Attendance</w:t>
      </w:r>
    </w:p>
    <w:p w14:paraId="45923C64" w14:textId="77777777" w:rsidR="00936FF6" w:rsidRDefault="00936FF6" w:rsidP="00936FF6">
      <w:pPr>
        <w:tabs>
          <w:tab w:val="left" w:pos="1120"/>
          <w:tab w:val="center" w:pos="4680"/>
        </w:tabs>
      </w:pPr>
    </w:p>
    <w:p w14:paraId="1623A4B8" w14:textId="41325C5B" w:rsidR="00936FF6" w:rsidRDefault="00BD5BFB" w:rsidP="00936FF6">
      <w:pPr>
        <w:tabs>
          <w:tab w:val="left" w:pos="1120"/>
          <w:tab w:val="center" w:pos="4680"/>
        </w:tabs>
      </w:pPr>
      <w:r>
        <w:t xml:space="preserve">Simple linear regression models </w:t>
      </w:r>
      <w:r w:rsidR="00706F94">
        <w:t xml:space="preserve">for </w:t>
      </w:r>
      <w:r>
        <w:t>each quarter are as follows:</w:t>
      </w:r>
    </w:p>
    <w:p w14:paraId="206CF787" w14:textId="77777777" w:rsidR="00BD5BFB" w:rsidRDefault="00BD5BFB" w:rsidP="00936FF6">
      <w:pPr>
        <w:tabs>
          <w:tab w:val="left" w:pos="1120"/>
          <w:tab w:val="center" w:pos="4680"/>
        </w:tabs>
      </w:pPr>
    </w:p>
    <w:p w14:paraId="0F6D2A47" w14:textId="62B32533" w:rsidR="00BD5BFB" w:rsidRDefault="00BD5BFB" w:rsidP="00936FF6">
      <w:pPr>
        <w:tabs>
          <w:tab w:val="left" w:pos="1120"/>
          <w:tab w:val="center" w:pos="4680"/>
        </w:tabs>
        <w:rPr>
          <w:rFonts w:eastAsiaTheme="minorEastAsia"/>
        </w:rPr>
      </w:pPr>
      <w:r>
        <w:t xml:space="preserve">Quarter 1: </w:t>
      </w:r>
      <m:oMath>
        <m:acc>
          <m:accPr>
            <m:ctrlPr>
              <w:rPr>
                <w:rFonts w:ascii="Cambria Math" w:hAnsi="Cambria Math"/>
                <w:i/>
              </w:rPr>
            </m:ctrlPr>
          </m:accPr>
          <m:e>
            <m:r>
              <w:rPr>
                <w:rFonts w:ascii="Cambria Math" w:hAnsi="Cambria Math"/>
              </w:rPr>
              <m:t>y</m:t>
            </m:r>
          </m:e>
        </m:acc>
        <m:r>
          <w:rPr>
            <w:rFonts w:ascii="Cambria Math" w:hAnsi="Cambria Math"/>
          </w:rPr>
          <m:t>=10890+1.304x     →Adj</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=0.3583</m:t>
        </m:r>
      </m:oMath>
      <w:r w:rsidR="00EA0E21">
        <w:rPr>
          <w:rFonts w:eastAsiaTheme="minorEastAsia"/>
        </w:rPr>
        <w:t xml:space="preserve">   </w:t>
      </w:r>
    </w:p>
    <w:p w14:paraId="320A8F9A" w14:textId="31EF5910" w:rsidR="00BD5BFB" w:rsidRDefault="00BD5BFB" w:rsidP="00936FF6">
      <w:pPr>
        <w:tabs>
          <w:tab w:val="left" w:pos="1120"/>
          <w:tab w:val="center" w:pos="4680"/>
        </w:tabs>
        <w:rPr>
          <w:rFonts w:eastAsiaTheme="minorEastAsia"/>
        </w:rPr>
      </w:pPr>
      <w:r>
        <w:rPr>
          <w:rFonts w:eastAsiaTheme="minorEastAsia"/>
        </w:rPr>
        <w:t>Quarter 2:</w:t>
      </w: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=17970.191+1.518x     →Adj</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=0.6258</m:t>
        </m:r>
      </m:oMath>
    </w:p>
    <w:p w14:paraId="15697B59" w14:textId="55DE69B0" w:rsidR="00E7235B" w:rsidRDefault="00E7235B" w:rsidP="00936FF6">
      <w:pPr>
        <w:tabs>
          <w:tab w:val="left" w:pos="1120"/>
          <w:tab w:val="center" w:pos="4680"/>
        </w:tabs>
        <w:rPr>
          <w:rFonts w:eastAsiaTheme="minorEastAsia"/>
        </w:rPr>
      </w:pPr>
      <w:r>
        <w:rPr>
          <w:rFonts w:eastAsiaTheme="minorEastAsia"/>
        </w:rPr>
        <w:t>Quarter 3:</w:t>
      </w: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=20810+1.179x     →Adj</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=0.7931</m:t>
        </m:r>
      </m:oMath>
    </w:p>
    <w:p w14:paraId="48A844BF" w14:textId="67EDF119" w:rsidR="00E7235B" w:rsidRDefault="00E7235B" w:rsidP="00936FF6">
      <w:pPr>
        <w:tabs>
          <w:tab w:val="left" w:pos="1120"/>
          <w:tab w:val="center" w:pos="4680"/>
        </w:tabs>
        <w:rPr>
          <w:rFonts w:eastAsiaTheme="minorEastAsia"/>
        </w:rPr>
      </w:pPr>
      <w:r>
        <w:rPr>
          <w:rFonts w:eastAsiaTheme="minorEastAsia"/>
        </w:rPr>
        <w:t>Quarter 4:</w:t>
      </w: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=9424.0035+1.5147x     →Adj</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=0.7451</m:t>
        </m:r>
      </m:oMath>
    </w:p>
    <w:p w14:paraId="1FAEF3B3" w14:textId="77777777" w:rsidR="0039629B" w:rsidRDefault="0039629B" w:rsidP="00936FF6">
      <w:pPr>
        <w:tabs>
          <w:tab w:val="left" w:pos="1120"/>
          <w:tab w:val="center" w:pos="4680"/>
        </w:tabs>
        <w:rPr>
          <w:rFonts w:eastAsiaTheme="minorEastAsia"/>
        </w:rPr>
      </w:pPr>
    </w:p>
    <w:p w14:paraId="5E405D2F" w14:textId="4E0C204A" w:rsidR="00E17511" w:rsidRPr="00E17511" w:rsidRDefault="00167A9C" w:rsidP="00376FC8">
      <w:pPr>
        <w:tabs>
          <w:tab w:val="left" w:pos="1120"/>
          <w:tab w:val="center" w:pos="4680"/>
        </w:tabs>
        <w:jc w:val="both"/>
        <w:rPr>
          <w:rFonts w:eastAsiaTheme="minorEastAsia"/>
        </w:rPr>
      </w:pPr>
      <w:r>
        <w:rPr>
          <w:rFonts w:eastAsiaTheme="minorEastAsia"/>
        </w:rPr>
        <w:t xml:space="preserve">To calculate the total park attendance for a specific quarter, substitute the number of visitors using the Main Park gate in that quarter to </w:t>
      </w:r>
      <m:oMath>
        <m:r>
          <w:rPr>
            <w:rFonts w:ascii="Cambria Math" w:eastAsiaTheme="minorEastAsia" w:hAnsi="Cambria Math"/>
          </w:rPr>
          <m:t>x</m:t>
        </m:r>
      </m:oMath>
      <w:r>
        <w:rPr>
          <w:rFonts w:eastAsiaTheme="minorEastAsia"/>
        </w:rPr>
        <w:t xml:space="preserve"> and solve for </w:t>
      </w:r>
      <m:oMath>
        <m:acc>
          <m:accPr>
            <m:ctrlPr>
              <w:rPr>
                <w:rFonts w:ascii="Cambria Math" w:hAnsi="Cambria Math"/>
                <w:i/>
              </w:rPr>
            </m:ctrlPr>
          </m:accPr>
          <m:e>
            <m:r>
              <w:rPr>
                <w:rFonts w:ascii="Cambria Math" w:hAnsi="Cambria Math"/>
              </w:rPr>
              <m:t>y</m:t>
            </m:r>
          </m:e>
        </m:acc>
      </m:oMath>
      <w:r>
        <w:rPr>
          <w:rFonts w:eastAsiaTheme="minorEastAsia"/>
        </w:rPr>
        <w:t xml:space="preserve">. This </w:t>
      </w:r>
      <m:oMath>
        <m:acc>
          <m:accPr>
            <m:ctrlPr>
              <w:rPr>
                <w:rFonts w:ascii="Cambria Math" w:hAnsi="Cambria Math"/>
                <w:i/>
              </w:rPr>
            </m:ctrlPr>
          </m:accPr>
          <m:e>
            <m:r>
              <w:rPr>
                <w:rFonts w:ascii="Cambria Math" w:hAnsi="Cambria Math"/>
              </w:rPr>
              <m:t>y</m:t>
            </m:r>
          </m:e>
        </m:acc>
      </m:oMath>
      <w:r>
        <w:rPr>
          <w:rFonts w:eastAsiaTheme="minorEastAsia"/>
        </w:rPr>
        <w:t xml:space="preserve"> value is the total park attendance for that quarter with </w:t>
      </w:r>
      <m:oMath>
        <m:r>
          <w:rPr>
            <w:rFonts w:ascii="Cambria Math" w:hAnsi="Cambria Math"/>
          </w:rPr>
          <m:t>±10%</m:t>
        </m:r>
      </m:oMath>
      <w:r>
        <w:rPr>
          <w:rFonts w:eastAsiaTheme="minorEastAsia"/>
        </w:rPr>
        <w:t xml:space="preserve"> error. </w:t>
      </w:r>
      <w:r w:rsidR="00536BD2">
        <w:rPr>
          <w:rFonts w:eastAsiaTheme="minorEastAsia"/>
        </w:rPr>
        <w:t>Adjusted R</w:t>
      </w:r>
      <w:r w:rsidR="00536BD2">
        <w:rPr>
          <w:rFonts w:eastAsiaTheme="minorEastAsia"/>
          <w:vertAlign w:val="superscript"/>
        </w:rPr>
        <w:t>2</w:t>
      </w:r>
      <w:r w:rsidR="00E17511">
        <w:rPr>
          <w:rFonts w:eastAsiaTheme="minorEastAsia"/>
        </w:rPr>
        <w:t xml:space="preserve"> in this case represents the proportion of variance for a dependent variable that’s explained by the independent variable. </w:t>
      </w:r>
    </w:p>
    <w:sectPr w:rsidR="00E17511" w:rsidRPr="00E17511" w:rsidSect="003429F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3B909" w14:textId="77777777" w:rsidR="00C521AF" w:rsidRDefault="00C521AF" w:rsidP="003429FD">
      <w:r>
        <w:separator/>
      </w:r>
    </w:p>
  </w:endnote>
  <w:endnote w:type="continuationSeparator" w:id="0">
    <w:p w14:paraId="7782D833" w14:textId="77777777" w:rsidR="00C521AF" w:rsidRDefault="00C521AF" w:rsidP="0034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A8A67" w14:textId="77777777" w:rsidR="00C521AF" w:rsidRDefault="00C521AF" w:rsidP="003429FD">
      <w:r>
        <w:separator/>
      </w:r>
    </w:p>
  </w:footnote>
  <w:footnote w:type="continuationSeparator" w:id="0">
    <w:p w14:paraId="691FC88C" w14:textId="77777777" w:rsidR="00C521AF" w:rsidRDefault="00C521AF" w:rsidP="003429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055C8" w14:textId="371828B5" w:rsidR="003429FD" w:rsidRDefault="003429FD" w:rsidP="003C5BCA">
    <w:pPr>
      <w:pStyle w:val="Header"/>
      <w:jc w:val="right"/>
    </w:pPr>
    <w:r>
      <w:t>Buddhika Senanayake</w:t>
    </w:r>
  </w:p>
  <w:p w14:paraId="25A7F2BE" w14:textId="34DE7EBF" w:rsidR="003429FD" w:rsidRDefault="003429FD" w:rsidP="003C5BCA">
    <w:pPr>
      <w:pStyle w:val="Header"/>
      <w:jc w:val="right"/>
    </w:pPr>
    <w:r>
      <w:t>12/03/2018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13"/>
    <w:rsid w:val="00046859"/>
    <w:rsid w:val="000873F6"/>
    <w:rsid w:val="000B3CAD"/>
    <w:rsid w:val="00167A9C"/>
    <w:rsid w:val="00183AA1"/>
    <w:rsid w:val="002234FA"/>
    <w:rsid w:val="002717F8"/>
    <w:rsid w:val="00283B61"/>
    <w:rsid w:val="002B7690"/>
    <w:rsid w:val="00311358"/>
    <w:rsid w:val="00320DC3"/>
    <w:rsid w:val="0034243A"/>
    <w:rsid w:val="003429FD"/>
    <w:rsid w:val="003700B4"/>
    <w:rsid w:val="00376FC8"/>
    <w:rsid w:val="0039629B"/>
    <w:rsid w:val="003C5BCA"/>
    <w:rsid w:val="0040288D"/>
    <w:rsid w:val="004A61DE"/>
    <w:rsid w:val="004E3BEB"/>
    <w:rsid w:val="005265F8"/>
    <w:rsid w:val="00536BD2"/>
    <w:rsid w:val="00537349"/>
    <w:rsid w:val="0058438A"/>
    <w:rsid w:val="00587332"/>
    <w:rsid w:val="005A3292"/>
    <w:rsid w:val="0067672C"/>
    <w:rsid w:val="006A5F66"/>
    <w:rsid w:val="00706F94"/>
    <w:rsid w:val="00713744"/>
    <w:rsid w:val="007311D8"/>
    <w:rsid w:val="00751504"/>
    <w:rsid w:val="00773B0E"/>
    <w:rsid w:val="007F2090"/>
    <w:rsid w:val="0082388A"/>
    <w:rsid w:val="00852B2D"/>
    <w:rsid w:val="008577E7"/>
    <w:rsid w:val="00866656"/>
    <w:rsid w:val="008D7719"/>
    <w:rsid w:val="008F16BF"/>
    <w:rsid w:val="00900C1E"/>
    <w:rsid w:val="00904D27"/>
    <w:rsid w:val="0090643A"/>
    <w:rsid w:val="00936FF6"/>
    <w:rsid w:val="009B1E5C"/>
    <w:rsid w:val="00A12CDB"/>
    <w:rsid w:val="00A314C1"/>
    <w:rsid w:val="00A459D1"/>
    <w:rsid w:val="00A77CA7"/>
    <w:rsid w:val="00AF0319"/>
    <w:rsid w:val="00B0093F"/>
    <w:rsid w:val="00B67B27"/>
    <w:rsid w:val="00B828CD"/>
    <w:rsid w:val="00B85FF7"/>
    <w:rsid w:val="00BA1B2D"/>
    <w:rsid w:val="00BB32C8"/>
    <w:rsid w:val="00BC6D6A"/>
    <w:rsid w:val="00BD5BFB"/>
    <w:rsid w:val="00C521AF"/>
    <w:rsid w:val="00C55B43"/>
    <w:rsid w:val="00C60A2C"/>
    <w:rsid w:val="00CD0167"/>
    <w:rsid w:val="00CF303D"/>
    <w:rsid w:val="00D07E6D"/>
    <w:rsid w:val="00DB3185"/>
    <w:rsid w:val="00E17511"/>
    <w:rsid w:val="00E272EF"/>
    <w:rsid w:val="00E40AF0"/>
    <w:rsid w:val="00E7235B"/>
    <w:rsid w:val="00E779E0"/>
    <w:rsid w:val="00E852C7"/>
    <w:rsid w:val="00EA0E21"/>
    <w:rsid w:val="00EC15AF"/>
    <w:rsid w:val="00F058B3"/>
    <w:rsid w:val="00F442ED"/>
    <w:rsid w:val="00F50B87"/>
    <w:rsid w:val="00F664C1"/>
    <w:rsid w:val="00F84313"/>
    <w:rsid w:val="00FC52B6"/>
    <w:rsid w:val="00FF0B96"/>
    <w:rsid w:val="00FF0B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D5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6BF"/>
    <w:rPr>
      <w:color w:val="808080"/>
    </w:rPr>
  </w:style>
  <w:style w:type="paragraph" w:styleId="Header">
    <w:name w:val="header"/>
    <w:basedOn w:val="Normal"/>
    <w:link w:val="HeaderChar"/>
    <w:uiPriority w:val="99"/>
    <w:unhideWhenUsed/>
    <w:rsid w:val="003429FD"/>
    <w:pPr>
      <w:tabs>
        <w:tab w:val="center" w:pos="4680"/>
        <w:tab w:val="right" w:pos="9360"/>
      </w:tabs>
    </w:pPr>
  </w:style>
  <w:style w:type="character" w:customStyle="1" w:styleId="HeaderChar">
    <w:name w:val="Header Char"/>
    <w:basedOn w:val="DefaultParagraphFont"/>
    <w:link w:val="Header"/>
    <w:uiPriority w:val="99"/>
    <w:rsid w:val="003429FD"/>
  </w:style>
  <w:style w:type="paragraph" w:styleId="Footer">
    <w:name w:val="footer"/>
    <w:basedOn w:val="Normal"/>
    <w:link w:val="FooterChar"/>
    <w:uiPriority w:val="99"/>
    <w:unhideWhenUsed/>
    <w:rsid w:val="003429FD"/>
    <w:pPr>
      <w:tabs>
        <w:tab w:val="center" w:pos="4680"/>
        <w:tab w:val="right" w:pos="9360"/>
      </w:tabs>
    </w:pPr>
  </w:style>
  <w:style w:type="character" w:customStyle="1" w:styleId="FooterChar">
    <w:name w:val="Footer Char"/>
    <w:basedOn w:val="DefaultParagraphFont"/>
    <w:link w:val="Footer"/>
    <w:uiPriority w:val="99"/>
    <w:rsid w:val="0034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600</Words>
  <Characters>3421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Senanayake, Buddhika Shamendra</dc:creator>
  <cp:keywords/>
  <dc:description/>
  <cp:lastModifiedBy>Senanayake, Buddhika Shamendra</cp:lastModifiedBy>
  <cp:revision>28</cp:revision>
  <dcterms:created xsi:type="dcterms:W3CDTF">2018-12-02T00:52:00Z</dcterms:created>
  <dcterms:modified xsi:type="dcterms:W3CDTF">2019-02-07T01:32:00Z</dcterms:modified>
</cp:coreProperties>
</file>