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rPr>
          <w:color w:val="116DFF"/>
        </w:rPr>
        <w:t>INGECART - Commercial Offer Template</w:t>
      </w:r>
    </w:p>
    <w:p>
      <w:r>
        <w:rPr>
          <w:sz w:val="22"/>
        </w:rPr>
        <w:t>Use this template for client-facing equipment offers and proposals.</w:t>
      </w:r>
    </w:p>
    <w:p>
      <w:pPr>
        <w:pStyle w:val="Heading2"/>
      </w:pPr>
      <w:r>
        <w:t>1. Client and Opportunity</w:t>
      </w:r>
    </w:p>
    <w:p>
      <w:r>
        <w:t>Client Name: ______________________________</w:t>
      </w:r>
    </w:p>
    <w:p>
      <w:r>
        <w:t>Company: _________________________________</w:t>
      </w:r>
    </w:p>
    <w:p>
      <w:r>
        <w:t>Country/Region: __________________________</w:t>
      </w:r>
    </w:p>
    <w:p>
      <w:r>
        <w:t>Requested Machines: _______________________</w:t>
      </w:r>
    </w:p>
    <w:p>
      <w:r>
        <w:t>Urgency Level: ____________________________</w:t>
      </w:r>
    </w:p>
    <w:p>
      <w:pPr>
        <w:pStyle w:val="Heading2"/>
      </w:pPr>
      <w:r>
        <w:t>2. Offer Scope</w:t>
      </w:r>
    </w:p>
    <w:p>
      <w:r>
        <w:t>Included equipment and technical condition summary.</w:t>
      </w:r>
    </w:p>
    <w:p>
      <w:r>
        <w:t>Commercial terms, lead time, and logistics scope.</w:t>
      </w:r>
    </w:p>
    <w:p>
      <w:r>
        <w:t>Installation, commissioning, and support assumptions.</w:t>
      </w:r>
    </w:p>
    <w:p>
      <w:pPr>
        <w:pStyle w:val="Heading2"/>
      </w:pPr>
      <w:r>
        <w:t>3. Commercial Terms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Pr>
          <w:p>
            <w:r>
              <w:t>Quoted Price</w:t>
            </w:r>
          </w:p>
        </w:tc>
        <w:tc>
          <w:tcPr>
            <w:tcW w:type="dxa" w:w="4320"/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Pr>
          <w:p>
            <w:r>
              <w:t>______________________________</w:t>
            </w:r>
          </w:p>
        </w:tc>
      </w:tr>
      <w:tr>
        <w:tc>
          <w:tcPr>
            <w:tcW w:type="dxa" w:w="4320"/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Pr>
          <w:p>
            <w:r>
              <w:t>Incoterm</w:t>
            </w:r>
          </w:p>
        </w:tc>
        <w:tc>
          <w:tcPr>
            <w:tcW w:type="dxa" w:w="4320"/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Pr>
          <w:p>
            <w:r>
              <w:t>______________________________</w:t>
            </w:r>
          </w:p>
        </w:tc>
      </w:tr>
      <w:tr>
        <w:tc>
          <w:tcPr>
            <w:tcW w:type="dxa" w:w="4320"/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Pr>
          <w:p>
            <w:r>
              <w:t>Delivery Timeline</w:t>
            </w:r>
          </w:p>
        </w:tc>
        <w:tc>
          <w:tcPr>
            <w:tcW w:type="dxa" w:w="4320"/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Pr>
          <w:p>
            <w:r>
              <w:t>______________________________</w:t>
            </w:r>
          </w:p>
        </w:tc>
      </w:tr>
      <w:tr>
        <w:tc>
          <w:tcPr>
            <w:tcW w:type="dxa" w:w="4320"/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Pr>
          <w:p>
            <w:r>
              <w:t>Payment Milestones</w:t>
            </w:r>
          </w:p>
        </w:tc>
        <w:tc>
          <w:tcPr>
            <w:tcW w:type="dxa" w:w="4320"/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Pr>
          <w:p>
            <w:r>
              <w:t>______________________________</w:t>
            </w:r>
          </w:p>
        </w:tc>
      </w:tr>
      <w:tr>
        <w:tc>
          <w:tcPr>
            <w:tcW w:type="dxa" w:w="4320"/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Pr>
          <w:p>
            <w:r>
              <w:t>Offer Validity</w:t>
            </w:r>
          </w:p>
        </w:tc>
        <w:tc>
          <w:tcPr>
            <w:tcW w:type="dxa" w:w="4320"/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Pr>
          <w:p>
            <w:r>
              <w:t>______________________________</w:t>
            </w:r>
          </w:p>
        </w:tc>
      </w:tr>
    </w:tbl>
    <w:p>
      <w:pPr>
        <w:pStyle w:val="Heading2"/>
      </w:pPr>
      <w:r>
        <w:t>4. Value Proposition</w:t>
      </w:r>
    </w:p>
    <w:p>
      <w:r>
        <w:t>Expected productivity impact and bottleneck reduction.</w:t>
      </w:r>
    </w:p>
    <w:p>
      <w:r>
        <w:t>Estimated ROI and payback assumptions.</w:t>
      </w:r>
    </w:p>
    <w:p>
      <w:r>
        <w:t>Risk mitigation and execution safeguards.</w:t>
      </w:r>
    </w:p>
    <w:p>
      <w:pPr>
        <w:pStyle w:val="Heading2"/>
      </w:pPr>
      <w:r>
        <w:t>5. Priority Channel References</w:t>
      </w:r>
    </w:p>
    <w:p>
      <w:pPr>
        <w:pStyle w:val="ListBullet"/>
      </w:pPr>
      <w:r>
        <w:t>- Oversys | Used machinery dealer | Known used-equipment seller in Iberia with immediate inventory</w:t>
      </w:r>
    </w:p>
    <w:p>
      <w:pPr>
        <w:pStyle w:val="ListBullet"/>
      </w:pPr>
      <w:r>
        <w:t>- Alpine Machinery | Used machinery dealer | Strong source for corrugated/converting deals and buyer visibility</w:t>
      </w:r>
    </w:p>
    <w:p>
      <w:pPr>
        <w:pStyle w:val="ListBullet"/>
      </w:pPr>
      <w:r>
        <w:t>- Papertek | Used machinery dealer | Specialized in paper and packaging assets with cross-border reach</w:t>
      </w:r>
    </w:p>
    <w:p>
      <w:pPr>
        <w:pStyle w:val="ListBullet"/>
      </w:pPr>
      <w:r>
        <w:t>- Exapro | Marketplace | High listing volume useful for pricing benchmarks and lead intent</w:t>
      </w:r>
    </w:p>
    <w:p>
      <w:pPr>
        <w:pStyle w:val="ListBullet"/>
      </w:pPr>
      <w:r>
        <w:t>- Kitmondo | Marketplace | Good buyer/seller activity and broad machine categories</w:t>
      </w:r>
    </w:p>
    <w:p>
      <w:pPr>
        <w:pStyle w:val="Heading2"/>
      </w:pPr>
      <w:r>
        <w:t>6. Approval and Sign-Off</w:t>
      </w:r>
    </w:p>
    <w:p>
      <w:r>
        <w:t>Prepared By: ______________________________</w:t>
      </w:r>
    </w:p>
    <w:p>
      <w:r>
        <w:t>Date: _____________________________________</w:t>
      </w:r>
    </w:p>
    <w:p>
      <w:r>
        <w:t>Client Acceptance: 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