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Montserrat" w:hAnsi="Montserrat"/>
          <w:b/>
          <w:color w:val="05070B"/>
          <w:sz w:val="56"/>
        </w:rPr>
        <w:t>ESTUDIO EXHAUSTIVO DE FERIAS Y TRADE SHOWS</w:t>
      </w:r>
    </w:p>
    <w:p>
      <w:r>
        <w:rPr>
          <w:rFonts w:ascii="Inter" w:hAnsi="Inter"/>
          <w:color w:val="FF6A00"/>
          <w:sz w:val="28"/>
        </w:rPr>
        <w:t>Sector Cartón Corrugado y Conversion | Enfoque Ingecart</w:t>
      </w:r>
    </w:p>
    <w:p/>
    <w:p>
      <w:r>
        <w:rPr>
          <w:rFonts w:ascii="Inter" w:hAnsi="Inter"/>
          <w:color w:val="7E848E"/>
          <w:sz w:val="22"/>
        </w:rPr>
        <w:t>Fecha de elaboración: 2026-05-21</w:t>
      </w:r>
    </w:p>
    <w:p>
      <w:pPr>
        <w:pBdr>
          <w:bottom w:val="single" w:sz="18" w:space="1" w:color="FF6A00"/>
        </w:pBdr>
      </w:pPr>
    </w:p>
    <w:p>
      <w:pPr>
        <w:pBdr>
          <w:bottom w:val="single" w:sz="14" w:space="2" w:color="FF6A00"/>
        </w:pBdr>
      </w:pPr>
      <w:r>
        <w:rPr>
          <w:rFonts w:ascii="Montserrat" w:hAnsi="Montserrat"/>
          <w:b/>
          <w:color w:val="05070B"/>
          <w:sz w:val="40"/>
        </w:rPr>
        <w:t>1. OBJETIVO Y ALCANCE</w:t>
      </w:r>
    </w:p>
    <w:p>
      <w:pPr>
        <w:spacing w:line="336" w:lineRule="auto" w:after="200"/>
      </w:pPr>
      <w:r>
        <w:rPr>
          <w:rFonts w:ascii="Inter" w:hAnsi="Inter"/>
          <w:color w:val="05070B"/>
          <w:sz w:val="22"/>
        </w:rPr>
        <w:t>Este estudio consolida y amplifica el listado base del archivo eventos_SHOWS_FERIAS_2025.xlsx con investigación sectorial adicional para los mercados estratégicos definidos por Ingecart.</w:t>
      </w:r>
    </w:p>
    <w:p>
      <w:r>
        <w:rPr>
          <w:rFonts w:ascii="Montserrat" w:hAnsi="Montserrat"/>
          <w:b/>
          <w:color w:val="1A1D24"/>
          <w:sz w:val="28"/>
        </w:rPr>
        <w:t>Mercados analizados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Europa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España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USA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México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Canadá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Australia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South Korea</w:t>
      </w:r>
    </w:p>
    <w:p>
      <w:r>
        <w:rPr>
          <w:rFonts w:ascii="Montserrat" w:hAnsi="Montserrat"/>
          <w:b/>
          <w:color w:val="1A1D24"/>
          <w:sz w:val="28"/>
        </w:rPr>
        <w:t>Elementos incluidos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Fechas confirmadas o aproximadas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Foco de cada evento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Perfil de expositores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Perfil de visitantes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Fuentes y enlaces sectoriales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Priorización estratégica para Ingecart</w:t>
      </w:r>
    </w:p>
    <w:p>
      <w:pPr>
        <w:pBdr>
          <w:bottom w:val="single" w:sz="14" w:space="2" w:color="FF6A00"/>
        </w:pBdr>
      </w:pPr>
      <w:r>
        <w:rPr>
          <w:rFonts w:ascii="Montserrat" w:hAnsi="Montserrat"/>
          <w:b/>
          <w:color w:val="05070B"/>
          <w:sz w:val="40"/>
        </w:rPr>
        <w:t>2. CONTEXTO ESTRATÉGICO</w:t>
      </w:r>
    </w:p>
    <w:p>
      <w:pPr>
        <w:spacing w:line="336" w:lineRule="auto" w:after="200"/>
      </w:pPr>
      <w:r>
        <w:rPr>
          <w:rFonts w:ascii="Inter" w:hAnsi="Inter"/>
          <w:color w:val="05070B"/>
          <w:sz w:val="22"/>
        </w:rPr>
        <w:t>El estudio ha sido priorizado utilizando el playbook comercial y técnico interno de Ingecart, orientado a integración de procesos, reducción de scrap, estabilización operativa y mejora de OEE.</w:t>
      </w:r>
    </w:p>
    <w:p>
      <w:r>
        <w:rPr>
          <w:rFonts w:ascii="Montserrat" w:hAnsi="Montserrat"/>
          <w:b/>
          <w:color w:val="1A1D24"/>
          <w:sz w:val="28"/>
        </w:rPr>
        <w:t>Implicaciones estratégicas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Prioridad a eventos con decisores industriales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Foco en corrugado, converting y automatización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Alta relevancia para operaciones con cuellos de botella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Preferencia por eventos con integración industrial real</w:t>
      </w:r>
    </w:p>
    <w:p>
      <w:pPr>
        <w:pBdr>
          <w:bottom w:val="single" w:sz="14" w:space="2" w:color="FF6A00"/>
        </w:pBdr>
      </w:pPr>
      <w:r>
        <w:rPr>
          <w:rFonts w:ascii="Montserrat" w:hAnsi="Montserrat"/>
          <w:b/>
          <w:color w:val="05070B"/>
          <w:sz w:val="40"/>
        </w:rPr>
        <w:t>3. FUENTES EXPERTAS UTILIZADAS</w:t>
      </w:r>
    </w:p>
    <w:p>
      <w:r>
        <w:rPr>
          <w:rFonts w:ascii="Montserrat" w:hAnsi="Montserrat"/>
          <w:b/>
          <w:color w:val="1A1D24"/>
          <w:sz w:val="28"/>
        </w:rPr>
        <w:t>Publicaciones y asociaciones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The Packaging Portal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Board Converting News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FEFCO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Corrugated of Course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AICC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TAPPI Corrugated Week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SuperCorrExpo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CCCA Canada</w:t>
      </w:r>
    </w:p>
    <w:p>
      <w:pPr>
        <w:pBdr>
          <w:bottom w:val="single" w:sz="14" w:space="2" w:color="FF6A00"/>
        </w:pBdr>
      </w:pPr>
      <w:r>
        <w:rPr>
          <w:rFonts w:ascii="Montserrat" w:hAnsi="Montserrat"/>
          <w:b/>
          <w:color w:val="05070B"/>
          <w:sz w:val="40"/>
        </w:rPr>
        <w:t>4. EVENTOS DE ALTA RELEVANCIA PARA INGECART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A1D24"/>
          </w:tcPr>
          <w:p>
            <w:r>
              <w:rPr>
                <w:rFonts w:ascii="Montserrat" w:hAnsi="Montserrat"/>
                <w:b/>
                <w:color w:val="F4F5F7"/>
                <w:sz w:val="20"/>
              </w:rPr>
              <w:t>EVENTO</w:t>
            </w:r>
          </w:p>
        </w:tc>
        <w:tc>
          <w:tcPr>
            <w:tcW w:type="dxa" w:w="2412"/>
            <w:shd w:fill="1A1D24"/>
          </w:tcPr>
          <w:p>
            <w:r>
              <w:rPr>
                <w:rFonts w:ascii="Montserrat" w:hAnsi="Montserrat"/>
                <w:b/>
                <w:color w:val="F4F5F7"/>
                <w:sz w:val="20"/>
              </w:rPr>
              <w:t>REGIÓN</w:t>
            </w:r>
          </w:p>
        </w:tc>
        <w:tc>
          <w:tcPr>
            <w:tcW w:type="dxa" w:w="2412"/>
            <w:shd w:fill="1A1D24"/>
          </w:tcPr>
          <w:p>
            <w:r>
              <w:rPr>
                <w:rFonts w:ascii="Montserrat" w:hAnsi="Montserrat"/>
                <w:b/>
                <w:color w:val="F4F5F7"/>
                <w:sz w:val="20"/>
              </w:rPr>
              <w:t>SCORE</w:t>
            </w:r>
          </w:p>
        </w:tc>
        <w:tc>
          <w:tcPr>
            <w:tcW w:type="dxa" w:w="2412"/>
            <w:shd w:fill="1A1D24"/>
          </w:tcPr>
          <w:p>
            <w:r>
              <w:rPr>
                <w:rFonts w:ascii="Montserrat" w:hAnsi="Montserrat"/>
                <w:b/>
                <w:color w:val="F4F5F7"/>
                <w:sz w:val="20"/>
              </w:rPr>
              <w:t>ENCaje ESTRATÉGICO</w:t>
            </w:r>
          </w:p>
        </w:tc>
      </w:tr>
      <w:tr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Corrugated Expo Barcelona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Europa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92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Máximo fit corrugado</w:t>
            </w:r>
          </w:p>
        </w:tc>
      </w:tr>
      <w:tr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FEFCO Summit Madrid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Europa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89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Acceso C-Level</w:t>
            </w:r>
          </w:p>
        </w:tc>
      </w:tr>
      <w:tr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Corrugated Week USA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USA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88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Alta densidad industrial</w:t>
            </w:r>
          </w:p>
        </w:tc>
      </w:tr>
      <w:tr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Empack Madrid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España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84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Pipeline Iberia</w:t>
            </w:r>
          </w:p>
        </w:tc>
      </w:tr>
      <w:tr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ALLFORPACK Paris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Europa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81</w:t>
            </w:r>
          </w:p>
        </w:tc>
        <w:tc>
          <w:tcPr>
            <w:tcW w:type="dxa" w:w="2412"/>
          </w:tcPr>
          <w:p>
            <w:r>
              <w:rPr>
                <w:rFonts w:ascii="Inter" w:hAnsi="Inter"/>
                <w:color w:val="05070B"/>
                <w:sz w:val="20"/>
              </w:rPr>
              <w:t>Posicionamiento internacional</w:t>
            </w:r>
          </w:p>
        </w:tc>
      </w:tr>
    </w:tbl>
    <w:p>
      <w:pPr>
        <w:pBdr>
          <w:bottom w:val="single" w:sz="14" w:space="2" w:color="FF6A00"/>
        </w:pBdr>
      </w:pPr>
      <w:r>
        <w:rPr>
          <w:rFonts w:ascii="Montserrat" w:hAnsi="Montserrat"/>
          <w:b/>
          <w:color w:val="05070B"/>
          <w:sz w:val="40"/>
        </w:rPr>
        <w:t>5. PLAN DE ACCIÓN 12 MESES</w:t>
      </w:r>
    </w:p>
    <w:p>
      <w:r>
        <w:rPr>
          <w:rFonts w:ascii="Montserrat" w:hAnsi="Montserrat"/>
          <w:b/>
          <w:color w:val="1A1D24"/>
          <w:sz w:val="28"/>
        </w:rPr>
        <w:t>Fase 1 — Captura de demanda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Activar mensajes verticales orientados a OEE y estabilidad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Crear auditoría de flujo paquetizada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Objetivo de 25-40 reuniones pre-feria</w:t>
      </w:r>
    </w:p>
    <w:p>
      <w:r>
        <w:rPr>
          <w:rFonts w:ascii="Montserrat" w:hAnsi="Montserrat"/>
          <w:b/>
          <w:color w:val="1A1D24"/>
          <w:sz w:val="28"/>
        </w:rPr>
        <w:t>Fase 2 — Conversión comercial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Pipeline estandarizado por etapa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Framework KPI + roadmap 90 días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Objetivo SQL/propuesta &gt;= 55%</w:t>
      </w:r>
    </w:p>
    <w:p>
      <w:r>
        <w:rPr>
          <w:rFonts w:ascii="Montserrat" w:hAnsi="Montserrat"/>
          <w:b/>
          <w:color w:val="1A1D24"/>
          <w:sz w:val="28"/>
        </w:rPr>
        <w:t>Fase 3 — Escalado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Publicar casos de impacto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Activar co-marketing sectorial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Construir autoridad técnica</w:t>
      </w:r>
    </w:p>
    <w:p>
      <w:pPr>
        <w:pBdr>
          <w:bottom w:val="single" w:sz="14" w:space="2" w:color="FF6A00"/>
        </w:pBdr>
      </w:pPr>
      <w:r>
        <w:rPr>
          <w:rFonts w:ascii="Montserrat" w:hAnsi="Montserrat"/>
          <w:b/>
          <w:color w:val="05070B"/>
          <w:sz w:val="40"/>
        </w:rPr>
        <w:t>6. KPIs RECOMENDADOS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Reuniones pre-agendadas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SQL generados por feria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Valor de pipeline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Tiempo de ciclo comercial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Ticket medio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Ratio de estabilización contratada</w:t>
      </w:r>
    </w:p>
    <w:p>
      <w:pPr>
        <w:pBdr>
          <w:bottom w:val="single" w:sz="14" w:space="2" w:color="FF6A00"/>
        </w:pBdr>
      </w:pPr>
      <w:r>
        <w:rPr>
          <w:rFonts w:ascii="Montserrat" w:hAnsi="Montserrat"/>
          <w:b/>
          <w:color w:val="05070B"/>
          <w:sz w:val="40"/>
        </w:rPr>
        <w:t>7. RECOMENDACIÓN EJECUTIVA FINAL</w:t>
      </w:r>
    </w:p>
    <w:p>
      <w:pPr>
        <w:spacing w:line="336" w:lineRule="auto" w:after="200"/>
      </w:pPr>
      <w:r>
        <w:rPr>
          <w:rFonts w:ascii="Inter" w:hAnsi="Inter"/>
          <w:color w:val="05070B"/>
          <w:sz w:val="22"/>
        </w:rPr>
        <w:t>Para maximizar resultados en los próximos 12 meses, Ingecart debería concentrar recursos en cinco eventos core y utilizar eventos internacionales seleccionados como palancas de expansión y alianzas.</w:t>
      </w:r>
    </w:p>
    <w:p>
      <w:r>
        <w:rPr>
          <w:rFonts w:ascii="Montserrat" w:hAnsi="Montserrat"/>
          <w:b/>
          <w:color w:val="1A1D24"/>
          <w:sz w:val="28"/>
        </w:rPr>
        <w:t>Eventos prioritarios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Corrugated Expo Barcelona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FEFCO Summit Madrid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Corrugated Week Fort Worth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Empack Madrid</w:t>
      </w:r>
    </w:p>
    <w:p>
      <w:pPr>
        <w:pStyle w:val="ListBullet"/>
      </w:pPr>
      <w:r>
        <w:rPr>
          <w:rFonts w:ascii="Inter" w:hAnsi="Inter"/>
          <w:color w:val="05070B"/>
          <w:sz w:val="22"/>
        </w:rPr>
        <w:t>Hispack Barcelona</w:t>
      </w:r>
    </w:p>
    <w:p/>
    <w:p>
      <w:pPr>
        <w:jc w:val="center"/>
      </w:pPr>
      <w:r>
        <w:rPr>
          <w:rFonts w:ascii="Montserrat" w:hAnsi="Montserrat"/>
          <w:b/>
          <w:color w:val="FF6A00"/>
          <w:sz w:val="32"/>
        </w:rPr>
        <w:t>Engineering That Optimizes.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</w:tcPr>
        <w:p>
          <w:r>
            <w:rPr>
              <w:rFonts w:ascii="Montserrat" w:hAnsi="Montserrat"/>
              <w:color w:val="7E848E"/>
              <w:sz w:val="18"/>
            </w:rPr>
            <w:t>Ing_RESEARCH</w:t>
          </w:r>
        </w:p>
      </w:tc>
      <w:tc>
        <w:tcPr>
          <w:tcW w:type="dxa" w:w="4320"/>
        </w:tcPr>
        <w:p>
          <w:pPr>
            <w:jc w:val="right"/>
          </w:pPr>
          <w:r>
            <w:fldChar w:fldCharType="begin"/>
            <w:instrText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 ORAN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