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80"/>
      </w:pPr>
      <w:r>
        <w:rPr>
          <w:b/>
          <w:color w:val="D95D18"/>
          <w:sz w:val="24"/>
        </w:rPr>
        <w:t>PROPUESTA TÉCNICO-COMERCIAL</w:t>
      </w:r>
    </w:p>
    <w:p>
      <w:pPr>
        <w:pStyle w:val="Title"/>
      </w:pPr>
      <w:r>
        <w:t>AMR WIP PARCIAL</w:t>
      </w:r>
    </w:p>
    <w:p>
      <w:pPr>
        <w:spacing w:after="400"/>
      </w:pPr>
      <w:r>
        <w:rPr>
          <w:color w:val="4B545B"/>
          <w:sz w:val="30"/>
        </w:rPr>
        <w:t>Automatización progresiva del flujo de planchas entre corrugadoras, almacén intermedio y convertidoras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cantSplit/>
        </w:trPr>
        <w:tc>
          <w:tcPr>
            <w:tcW w:type="dxa" w:w="1872"/>
            <w:vAlign w:val="center"/>
            <w:shd w:fill="13283F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Cliente</w:t>
            </w:r>
          </w:p>
        </w:tc>
        <w:tc>
          <w:tcPr>
            <w:tcW w:type="dxa" w:w="3456"/>
            <w:vAlign w:val="center"/>
            <w:shd w:fill="13283F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Proyecto</w:t>
            </w:r>
          </w:p>
        </w:tc>
        <w:tc>
          <w:tcPr>
            <w:tcW w:type="dxa" w:w="3168"/>
            <w:vAlign w:val="center"/>
            <w:shd w:fill="13283F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Referencia</w:t>
            </w:r>
          </w:p>
        </w:tc>
        <w:tc>
          <w:tcPr>
            <w:tcW w:type="dxa" w:w="2160"/>
            <w:vAlign w:val="center"/>
            <w:shd w:fill="13283F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Revisión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2F5F7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Cartowa</w:t>
            </w:r>
          </w:p>
        </w:tc>
        <w:tc>
          <w:tcPr>
            <w:tcW w:type="dxa" w:w="3456"/>
            <w:vAlign w:val="center"/>
            <w:shd w:fill="F2F5F7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Gestión parcial de WIP con AMRs</w:t>
            </w:r>
          </w:p>
        </w:tc>
        <w:tc>
          <w:tcPr>
            <w:tcW w:type="dxa" w:w="3168"/>
            <w:vAlign w:val="center"/>
            <w:shd w:fill="F2F5F7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CARTOWA-AMR-WIP-2026-R1</w:t>
            </w:r>
          </w:p>
        </w:tc>
        <w:tc>
          <w:tcPr>
            <w:tcW w:type="dxa" w:w="2160"/>
            <w:vAlign w:val="center"/>
            <w:shd w:fill="F2F5F7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01 octubre 2026 · Borrador</w:t>
            </w:r>
          </w:p>
        </w:tc>
      </w:tr>
    </w:tbl>
    <w:p>
      <w:pPr>
        <w:spacing w:after="20"/>
      </w:pPr>
    </w:p>
    <w:p>
      <w:pPr>
        <w:spacing w:before="320"/>
      </w:pPr>
      <w:r>
        <w:rPr>
          <w:b/>
          <w:color w:val="A04614"/>
          <w:sz w:val="18"/>
        </w:rPr>
        <w:t>DOCUMENTO DE TRABAJO · La configuración técnica descrita se basa en el alcance recibido y en el Excel de costes. Precio de venta, condiciones comerciales y datos de aplicación pendientes de aprobación y cierre.</w:t>
      </w:r>
    </w:p>
    <w:p>
      <w:pPr>
        <w:pStyle w:val="Heading1"/>
        <w:keepNext/>
      </w:pPr>
      <w:r>
        <w:t>1. Carta de presentación</w:t>
      </w:r>
    </w:p>
    <w:p>
      <w:r>
        <w:t>INGECART presenta a Cartowa una solución de intralogística con robots móviles autónomos (AMR) para iniciar, de forma controlada y escalable, la gestión del WIP (Work in Progress) entre dos corrugadoras y dos convertidoras. La propuesta automatiza una zona inicial equivalente al 25% del área WIP disponible, manteniendo la operación convencional con carretillas en el resto de la planta.</w:t>
      </w:r>
    </w:p>
    <w:p>
      <w:r>
        <w:t>El propósito es ordenar las transferencias entre producción, almacenamiento intermedio y consumo en convertidoras; reducir movimientos manuales dentro del área automatizada; y generar datos operativos que permitan evaluar una ampliación posterior con criterios de capacidad, seguridad y retorno. La solución no se plantea como una sustitución inmediata de toda la logística existente.</w:t>
      </w:r>
    </w:p>
    <w:p>
      <w:pPr>
        <w:pStyle w:val="Heading1"/>
        <w:keepNext/>
      </w:pPr>
      <w:r>
        <w:t>2. Resumen ejecutivo</w:t>
      </w:r>
    </w:p>
    <w:p>
      <w:r>
        <w:t>El paquete revisado incluye cinco AMRs KUKA, cuatro estaciones de intercambio tipo tridente y un paquete presupuestario de conveyor de seis tramos para la salida unificada de las dos corrugadoras. Dos tridentes se asignan a la recogida en corrugadoras y dos a la entrega en las convertidoras, sujetos a validación del layout. Los AMRs atienden la zona inicial del 25% del WIP y, cuando exista capacidad disponible y las rutas lo permitan, podrán apoyar otros movimientos; las carretillas continúan cubriendo el resto de necesidades. La capacidad se dimensionará con datos reales de cargas, secuencias, recorridos y picos de producción.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2880"/>
            <w:vAlign w:val="center"/>
            <w:shd w:fill="13283F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7632"/>
            <w:vAlign w:val="center"/>
            <w:shd w:fill="13283F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Base de propuesta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2F5F7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Fábricas / líneas conectadas</w:t>
            </w:r>
          </w:p>
        </w:tc>
        <w:tc>
          <w:tcPr>
            <w:tcW w:type="dxa" w:w="7632"/>
            <w:vAlign w:val="center"/>
            <w:shd w:fill="F2F5F7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2 corrugadoras y 2 convertidoras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Automatización inicial</w:t>
            </w:r>
          </w:p>
        </w:tc>
        <w:tc>
          <w:tcPr>
            <w:tcW w:type="dxa" w:w="763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25% del área WIP disponible; superficie útil y capacidad a confirmar mediante levantamiento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2F5F7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Flota de referencia</w:t>
            </w:r>
          </w:p>
        </w:tc>
        <w:tc>
          <w:tcPr>
            <w:tcW w:type="dxa" w:w="7632"/>
            <w:vAlign w:val="center"/>
            <w:shd w:fill="F2F5F7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5 AMRs KUKA; modelo, carga útil y accesorio final tras estudio de aplicación y confirmación de proveedor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Transferencias</w:t>
            </w:r>
          </w:p>
        </w:tc>
        <w:tc>
          <w:tcPr>
            <w:tcW w:type="dxa" w:w="763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4 tridentes: 2 en origen corrugadora y 2 en destino convertidora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2F5F7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Transporte pasivo</w:t>
            </w:r>
          </w:p>
        </w:tc>
        <w:tc>
          <w:tcPr>
            <w:tcW w:type="dxa" w:w="7632"/>
            <w:vAlign w:val="center"/>
            <w:shd w:fill="F2F5F7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Salida unificada de dos corrugadoras; base presupuestaria de 1 paquete / 6 tramos. Desglose y disposición doble a verificar contra layout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Convivencia operativa</w:t>
            </w:r>
          </w:p>
        </w:tc>
        <w:tc>
          <w:tcPr>
            <w:tcW w:type="dxa" w:w="763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Zona AMR inicial: 25%; los cinco AMRs pueden apoyar otros movimientos si hay disponibilidad. Carretillas atienden el balance y contingencias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2F5F7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Instalación de referencia</w:t>
            </w:r>
          </w:p>
        </w:tc>
        <w:tc>
          <w:tcPr>
            <w:tcW w:type="dxa" w:w="7632"/>
            <w:vAlign w:val="center"/>
            <w:shd w:fill="F2F5F7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17 días x 2 técnicos en Estados Unidos es la base del Excel; duración a reconfirmar para cinco AMRs. Viajes no definidos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3. Bloque A · Sistema AMR para gestión parcial de WIP</w:t>
      </w:r>
    </w:p>
    <w:p>
      <w:pPr>
        <w:pStyle w:val="Heading2"/>
        <w:keepNext/>
      </w:pPr>
      <w:r>
        <w:t>3.1 Alcance de suministro</w:t>
      </w:r>
    </w:p>
    <w:p>
      <w:pPr>
        <w:pStyle w:val="ListBullet"/>
        <w:spacing w:after="60"/>
      </w:pPr>
      <w:r>
        <w:t>Cinco (5) robots móviles autónomos KUKA, dimensionados para las cargas y las interfaces que se aprueben durante la ingeniería de aplicación. La selección definitiva del modelo dependerá de masa, dimensiones, centro de gravedad, geometría de aproximación, suelo y ciclo requerido. Tres unidades adicionales respecto a la base de dos unidades del Excel se valoran provisionalmente al mismo coste unitario.</w:t>
      </w:r>
    </w:p>
    <w:p>
      <w:pPr>
        <w:pStyle w:val="ListBullet"/>
        <w:spacing w:after="60"/>
      </w:pPr>
      <w:r>
        <w:t>Cuatro (4) estaciones de transferencia tipo tridente: dos asociadas a la salida de las corrugadoras y dos asociadas a la entrada de las convertidoras. El número y la ubicación final se confirmarán contra el plano de implantación.</w:t>
      </w:r>
    </w:p>
    <w:p>
      <w:pPr>
        <w:pStyle w:val="ListBullet"/>
        <w:spacing w:after="60"/>
      </w:pPr>
      <w:r>
        <w:t>Sistema de salida unificada de ambas corrugadoras mediante conveyors, con presupuesto fuente de un paquete de seis (6) tramos. La correspondencia entre los seis tramos presupuestados y el concepto de doble conveyor del alcance debe cerrarse en la revisión de layout y BOM.</w:t>
      </w:r>
    </w:p>
    <w:p>
      <w:pPr>
        <w:pStyle w:val="ListBullet"/>
        <w:spacing w:after="60"/>
      </w:pPr>
      <w:r>
        <w:t>Ingeniería mecánica y eléctrica, control de proyecto, supervisión y horas de taller indicadas en el presupuesto interno de referencia.</w:t>
      </w:r>
    </w:p>
    <w:p>
      <w:pPr>
        <w:pStyle w:val="ListBullet"/>
        <w:spacing w:after="60"/>
      </w:pPr>
      <w:r>
        <w:t>Armarios eléctricos, trabajos de normativa, pruebas de taller y software SIFISE según la base de costes. Funcionalidad, licencias e interfaces se concretarán en la especificación funcional.</w:t>
      </w:r>
    </w:p>
    <w:p>
      <w:pPr>
        <w:pStyle w:val="ListBullet"/>
        <w:spacing w:after="60"/>
      </w:pPr>
      <w:r>
        <w:t>Configuración de mapa, misiones, reglas de circulación, estaciones e interfaces de intercambio, puesta en marcha y formación vinculadas al alcance final aprobado.</w:t>
      </w:r>
    </w:p>
    <w:p>
      <w:pPr>
        <w:pStyle w:val="Heading2"/>
        <w:keepNext/>
      </w:pPr>
      <w:r>
        <w:t>3.2 Concepto operativo y secuencia de flujo</w:t>
      </w:r>
    </w:p>
    <w:p>
      <w:r>
        <w:t>El sistema combina una zona de WIP servida por AMRs con el almacenamiento convencional. La asignación de cada pila y la prioridad de las misiones se concretarán con Cartowa; el control de FIFO, curado, identificación de lote o sincronización MES/ERP solo podrá ofrecerse cuando se definan y aprueben los datos e interfaces correspondientes.</w:t>
      </w:r>
    </w:p>
    <w:p>
      <w:pPr>
        <w:pStyle w:val="ListNumber"/>
        <w:spacing w:after="60"/>
      </w:pPr>
      <w:r>
        <w:t>Salida de corrugadora: las pilas liberadas se presentan en los puntos de intercambio previstos. El paquete de conveyor de seis tramos conduce el material a las posiciones de entrega/recogida definidas en el layout.</w:t>
      </w:r>
    </w:p>
    <w:p>
      <w:pPr>
        <w:pStyle w:val="ListNumber"/>
        <w:spacing w:after="60"/>
      </w:pPr>
      <w:r>
        <w:t>Solicitud y asignación: una señal de disponibilidad o solicitud genera una misión. El sistema comprueba el estado del AMR, la estación, la ruta y la prioridad según la lógica acordada.</w:t>
      </w:r>
    </w:p>
    <w:p>
      <w:pPr>
        <w:pStyle w:val="ListNumber"/>
        <w:spacing w:after="60"/>
      </w:pPr>
      <w:r>
        <w:t>Recogida: el AMR se posiciona en el tridente de origen y realiza el intercambio de carga mediante la interfaz mecánica aprobada.</w:t>
      </w:r>
    </w:p>
    <w:p>
      <w:pPr>
        <w:pStyle w:val="ListNumber"/>
        <w:spacing w:after="60"/>
      </w:pPr>
      <w:r>
        <w:t>Almacenamiento WIP: la misión lleva la carga a una ubicación autorizada dentro de la zona automatizada inicial. La ubicación, el estado y las marcas de tiempo se registrarán según las funciones de software e interfaces finalmente incluidas.</w:t>
      </w:r>
    </w:p>
    <w:p>
      <w:pPr>
        <w:pStyle w:val="ListNumber"/>
        <w:spacing w:after="60"/>
      </w:pPr>
      <w:r>
        <w:t>Abastecimiento a convertidora: ante una necesidad de producción, se reserva una ubicación y se envía el material a uno de los dos tridentes de destino, sujeto a disponibilidad y prioridad acordadas.</w:t>
      </w:r>
    </w:p>
    <w:p>
      <w:pPr>
        <w:pStyle w:val="ListNumber"/>
        <w:spacing w:after="60"/>
      </w:pPr>
      <w:r>
        <w:t>Convivencia con carretillas: los cinco AMRs atienden prioritariamente la zona WIP inicial del 25%; si hay capacidad disponible, podrán realizar movimientos adicionales del resto del almacén conforme a las reglas de misión aprobadas. Las carretillas cubren las demás necesidades y el procedimiento de contingencia.</w:t>
      </w:r>
    </w:p>
    <w:p>
      <w:pPr>
        <w:pStyle w:val="ListNumber"/>
        <w:spacing w:after="60"/>
      </w:pPr>
      <w:r>
        <w:t>Excepciones y recuperación: las situaciones de bloqueo, falta de material, carga no conforme o indisponibilidad seguirán el procedimiento manual/degradado definido antes de SAT.</w:t>
      </w:r>
    </w:p>
    <w:p>
      <w:pPr>
        <w:pStyle w:val="Heading2"/>
        <w:keepNext/>
      </w:pPr>
      <w:r>
        <w:t>3.3 Valor operativo y escalabilidad</w:t>
      </w:r>
    </w:p>
    <w:p>
      <w:pPr>
        <w:pStyle w:val="ListBullet"/>
        <w:spacing w:after="60"/>
      </w:pPr>
      <w:r>
        <w:t>Implantación por etapas: permite validar una fracción del WIP antes de decidir una ampliación de área, estaciones o flota.</w:t>
      </w:r>
    </w:p>
    <w:p>
      <w:pPr>
        <w:pStyle w:val="ListBullet"/>
        <w:spacing w:after="60"/>
      </w:pPr>
      <w:r>
        <w:t>Coordinación de flujo: las misiones pueden priorizarse de acuerdo con la demanda definida para las convertidoras y la disponibilidad de material.</w:t>
      </w:r>
    </w:p>
    <w:p>
      <w:pPr>
        <w:pStyle w:val="ListBullet"/>
        <w:spacing w:after="60"/>
      </w:pPr>
      <w:r>
        <w:t>Menos manipulación manual dentro del alcance automatizado: el beneficio deberá medirse mediante la línea base de movimientos, esperas e intervenciones.</w:t>
      </w:r>
    </w:p>
    <w:p>
      <w:pPr>
        <w:pStyle w:val="ListBullet"/>
        <w:spacing w:after="60"/>
      </w:pPr>
      <w:r>
        <w:t>Visibilidad operacional: los eventos disponibles del sistema permiten analizar tiempos de misión, incidencias, estado de flota y uso del buffer, de acuerdo con el alcance de control aprobado.</w:t>
      </w:r>
    </w:p>
    <w:p>
      <w:pPr>
        <w:pStyle w:val="ListBullet"/>
        <w:spacing w:after="60"/>
      </w:pPr>
      <w:r>
        <w:t>Escalabilidad condicionada: añadir robots, estaciones o nuevas áreas requiere recalcular capacidad, tráfico, carga, recarga, seguridad e interfaces; no se asume ampliación automática sin ingeniería adicional.</w:t>
      </w:r>
    </w:p>
    <w:p>
      <w:r>
        <w:rPr>
          <w:b/>
        </w:rPr>
        <w:t xml:space="preserve">Criterio de comunicación de beneficios: </w:t>
      </w:r>
      <w:r>
        <w:t>el 25% representa el área objetivo de la fase inicial indicada en el alcance. No equivale por sí mismo a un aumento de capacidad, ahorro de superficie, eliminación de cuellos de botella ni garantía de disponibilidad. Estos resultados deben medirse o validarse por simulación y pruebas de aceptación.</w:t>
      </w:r>
    </w:p>
    <w:p>
      <w:pPr>
        <w:pStyle w:val="Heading2"/>
        <w:keepNext/>
      </w:pPr>
      <w:r>
        <w:t>3.4 Datos de aplicación y cualificación técnica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2376"/>
            <w:vAlign w:val="center"/>
            <w:shd w:fill="13283F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Tema</w:t>
            </w:r>
          </w:p>
        </w:tc>
        <w:tc>
          <w:tcPr>
            <w:tcW w:type="dxa" w:w="8136"/>
            <w:vAlign w:val="center"/>
            <w:shd w:fill="13283F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Dato requerido / criterio de cierre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2F5F7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Cargas</w:t>
            </w:r>
          </w:p>
        </w:tc>
        <w:tc>
          <w:tcPr>
            <w:tcW w:type="dxa" w:w="8136"/>
            <w:vAlign w:val="center"/>
            <w:shd w:fill="F2F5F7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Masa máxima y nominal, dimensiones, altura, centro de gravedad, flexión/estabilidad y familia de portacargas.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Proceso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Producción por formato, demanda media y pico, secuencia, tiempo de residencia/curado y reglas de prioridad.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2F5F7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Layout</w:t>
            </w:r>
          </w:p>
        </w:tc>
        <w:tc>
          <w:tcPr>
            <w:tcW w:type="dxa" w:w="8136"/>
            <w:vAlign w:val="center"/>
            <w:shd w:fill="F2F5F7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Plano as-built, ancho de pasillos, radios/zonas de giro, puntos de entrega, superficie disponible y rutas peatonales.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Suelo y entorno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Planitud, juntas, pendientes, resistencia, polvo, iluminación, Wi-Fi y condiciones ambientales.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2F5F7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Interfaz de tridente</w:t>
            </w:r>
          </w:p>
        </w:tc>
        <w:tc>
          <w:tcPr>
            <w:tcW w:type="dxa" w:w="8136"/>
            <w:vAlign w:val="center"/>
            <w:shd w:fill="F2F5F7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Geometría, altura, tolerancias, enclavamientos, sensores, señales y secuencia de transferencia.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Flota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Ciclo ida/vuelta, tráfico, tiempos de carga, estrategia de recarga y rendimiento durante indisponibilidad de un AMR.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2F5F7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Sistemas de planta</w:t>
            </w:r>
          </w:p>
        </w:tc>
        <w:tc>
          <w:tcPr>
            <w:tcW w:type="dxa" w:w="8136"/>
            <w:vAlign w:val="center"/>
            <w:shd w:fill="F2F5F7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PLC, WMS/MES/ERP, datos de lote, estados, API/protocolo, propiedad de licencias y responsabilidades IT/OT.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3.5 Control, integración y seguridad</w:t>
      </w:r>
    </w:p>
    <w:p>
      <w:r>
        <w:t>La arquitectura final separará las funciones de control local de conveyors y tridentes, la gestión de misiones AMR y las funciones de sistemas superiores. El diseño de señales, reservas de destino, estados, alarmas, recuperación y comunicaciones se documentará en la especificación funcional. La conexión con ERP/MES/WMS, la modificación de software de terceros y las licencias no se consideran incluidas salvo que figuren expresamente en la oferta comercial aprobada.</w:t>
      </w:r>
    </w:p>
    <w:p>
      <w:r>
        <w:t>La evaluación de riesgos deberá cubrir circulación de AMRs, peatones, puntos de transferencia, conveyors, mantenimiento y modos degradados. La configuración de seguridad, velocidades, zonas, dispositivos y funciones de parada se definirá para la aplicación y se validará conforme a la normativa aplicable y a la evaluación de riesgos acordada. La referencia a una plataforma KUKA no sustituye la validación de seguridad de la instalación completa.</w:t>
      </w:r>
    </w:p>
    <w:p>
      <w:pPr>
        <w:pStyle w:val="Heading2"/>
        <w:keepNext/>
      </w:pPr>
      <w:r>
        <w:t>3.6 Instalación, puesta en marcha y aceptación</w:t>
      </w:r>
    </w:p>
    <w:p>
      <w:r>
        <w:t>El Excel indica 17 días de montaje en Estados Unidos con dos técnicos; se conserva como hipótesis de coste, pero debe confirmarse para una flota ampliada a cinco AMRs. La duración efectiva dependerá de la disponibilidad de área, equipos, datos, servicios e interfaces del cliente. Los costes de viaje, alojamiento, dietas, transporte, jornadas extraordinarias y visitas adicionales no están desglosados y deberán aclararse antes de emitir la oferta contractual.</w:t>
      </w:r>
    </w:p>
    <w:p>
      <w:pPr>
        <w:pStyle w:val="ListNumber"/>
        <w:spacing w:after="60"/>
      </w:pPr>
      <w:r>
        <w:t>Revisión de diseño: layout, matriz de cargas, interfaces, mapa de circulación, matriz de responsabilidades y criterios de aceptación aprobados.</w:t>
      </w:r>
    </w:p>
    <w:p>
      <w:pPr>
        <w:pStyle w:val="ListNumber"/>
        <w:spacing w:after="60"/>
      </w:pPr>
      <w:r>
        <w:t>Pruebas de fábrica (FAT): verificación de funciones, enclavamientos e interfaces disponibles, con registro de incidencias y pruebas acordadas.</w:t>
      </w:r>
    </w:p>
    <w:p>
      <w:pPr>
        <w:pStyle w:val="ListNumber"/>
        <w:spacing w:after="60"/>
      </w:pPr>
      <w:r>
        <w:t>Instalación y puesta en marcha: montaje, mapeo del área, configuración de misiones y ajuste en condiciones reales de planta.</w:t>
      </w:r>
    </w:p>
    <w:p>
      <w:pPr>
        <w:pStyle w:val="ListNumber"/>
        <w:spacing w:after="60"/>
      </w:pPr>
      <w:r>
        <w:t>Pruebas de aceptación en sitio (SAT): evaluación contra la matriz acordada, incluyendo misiones representativas, manejo de excepciones, recuperación y operación en coexistencia con carretillas.</w:t>
      </w:r>
    </w:p>
    <w:p>
      <w:pPr>
        <w:pStyle w:val="ListNumber"/>
        <w:spacing w:after="60"/>
      </w:pPr>
      <w:r>
        <w:t>Formación y entrega: formación de operadores/mantenimiento y entrega de documentación definida en la oferta final.</w:t>
      </w:r>
    </w:p>
    <w:p>
      <w:pPr>
        <w:pStyle w:val="Heading2"/>
        <w:keepNext/>
      </w:pPr>
      <w:r>
        <w:t>3.7 KPIs recomendados para la fase inicial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3744"/>
            <w:vAlign w:val="center"/>
            <w:shd w:fill="13283F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KPI</w:t>
            </w:r>
          </w:p>
        </w:tc>
        <w:tc>
          <w:tcPr>
            <w:tcW w:type="dxa" w:w="6768"/>
            <w:vAlign w:val="center"/>
            <w:shd w:fill="13283F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Uso en la validación</w:t>
            </w:r>
          </w:p>
        </w:tc>
      </w:tr>
      <w:tr>
        <w:trPr>
          <w:cantSplit/>
        </w:trPr>
        <w:tc>
          <w:tcPr>
            <w:tcW w:type="dxa" w:w="3744"/>
            <w:vAlign w:val="center"/>
            <w:shd w:fill="F2F5F7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Misiones/hora; tiempo de ciclo P50/P95</w:t>
            </w:r>
          </w:p>
        </w:tc>
        <w:tc>
          <w:tcPr>
            <w:tcW w:type="dxa" w:w="6768"/>
            <w:vAlign w:val="center"/>
            <w:shd w:fill="F2F5F7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Comparar capacidad observada con la demanda real y la simulación.</w:t>
            </w:r>
          </w:p>
        </w:tc>
      </w:tr>
      <w:tr>
        <w:trPr>
          <w:cantSplit/>
        </w:trPr>
        <w:tc>
          <w:tcPr>
            <w:tcW w:type="dxa" w:w="374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Minutos de bloqueo de corrugadora y starvation de convertidora</w:t>
            </w:r>
          </w:p>
        </w:tc>
        <w:tc>
          <w:tcPr>
            <w:tcW w:type="dxa" w:w="676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Medir continuidad de flujo atribuible al sistema dentro del alcance.</w:t>
            </w:r>
          </w:p>
        </w:tc>
      </w:tr>
      <w:tr>
        <w:trPr>
          <w:cantSplit/>
        </w:trPr>
        <w:tc>
          <w:tcPr>
            <w:tcW w:type="dxa" w:w="3744"/>
            <w:vAlign w:val="center"/>
            <w:shd w:fill="F2F5F7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Exactitud de ubicación e inventario WIP</w:t>
            </w:r>
          </w:p>
        </w:tc>
        <w:tc>
          <w:tcPr>
            <w:tcW w:type="dxa" w:w="6768"/>
            <w:vAlign w:val="center"/>
            <w:shd w:fill="F2F5F7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Verificar que la ubicación y el estado de las cargas sean reconciliables.</w:t>
            </w:r>
          </w:p>
        </w:tc>
      </w:tr>
      <w:tr>
        <w:trPr>
          <w:cantSplit/>
        </w:trPr>
        <w:tc>
          <w:tcPr>
            <w:tcW w:type="dxa" w:w="374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Cumplimiento FIFO/curado, si aplica</w:t>
            </w:r>
          </w:p>
        </w:tc>
        <w:tc>
          <w:tcPr>
            <w:tcW w:type="dxa" w:w="676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Validar reglas de secuencia cuando los datos e interfaces estén incluidos.</w:t>
            </w:r>
          </w:p>
        </w:tc>
      </w:tr>
      <w:tr>
        <w:trPr>
          <w:cantSplit/>
        </w:trPr>
        <w:tc>
          <w:tcPr>
            <w:tcW w:type="dxa" w:w="3744"/>
            <w:vAlign w:val="center"/>
            <w:shd w:fill="F2F5F7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Intervenciones manuales, esperas y movimientos de carretilla</w:t>
            </w:r>
          </w:p>
        </w:tc>
        <w:tc>
          <w:tcPr>
            <w:tcW w:type="dxa" w:w="6768"/>
            <w:vAlign w:val="center"/>
            <w:shd w:fill="F2F5F7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Cuantificar el cambio operacional respecto a la línea base.</w:t>
            </w:r>
          </w:p>
        </w:tc>
      </w:tr>
      <w:tr>
        <w:trPr>
          <w:cantSplit/>
        </w:trPr>
        <w:tc>
          <w:tcPr>
            <w:tcW w:type="dxa" w:w="374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Disponibilidad, recarga e incidencias</w:t>
            </w:r>
          </w:p>
        </w:tc>
        <w:tc>
          <w:tcPr>
            <w:tcW w:type="dxa" w:w="676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Entender el rendimiento de la flota y el modo de operación degradado.</w:t>
            </w:r>
          </w:p>
        </w:tc>
      </w:tr>
      <w:tr>
        <w:trPr>
          <w:cantSplit/>
        </w:trPr>
        <w:tc>
          <w:tcPr>
            <w:tcW w:type="dxa" w:w="3744"/>
            <w:vAlign w:val="center"/>
            <w:shd w:fill="F2F5F7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Daños/retrabajos de plancha</w:t>
            </w:r>
          </w:p>
        </w:tc>
        <w:tc>
          <w:tcPr>
            <w:tcW w:type="dxa" w:w="6768"/>
            <w:vAlign w:val="center"/>
            <w:shd w:fill="F2F5F7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Monitorizar calidad de manipulación frente a la situación anterior.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4. Límites, exclusiones y responsabilidades</w:t>
      </w:r>
    </w:p>
    <w:p>
      <w:pPr>
        <w:pStyle w:val="Heading2"/>
        <w:keepNext/>
      </w:pPr>
      <w:r>
        <w:t>4.1 Fuera del alcance base, salvo inclusión expresa</w:t>
      </w:r>
    </w:p>
    <w:p>
      <w:pPr>
        <w:pStyle w:val="ListBullet"/>
        <w:spacing w:after="60"/>
      </w:pPr>
      <w:r>
        <w:t>Automatización del 75% restante del área WIP, sustitución integral de carretillas o una garantía de servicio de AMR fuera de la zona definida.</w:t>
      </w:r>
    </w:p>
    <w:p>
      <w:pPr>
        <w:pStyle w:val="ListBullet"/>
        <w:spacing w:after="60"/>
      </w:pPr>
      <w:r>
        <w:t>Obra civil, reparación/refuerzo de suelo, canalizaciones, instalaciones eléctricas generales, refuerzo de red Wi-Fi, cambios de edificio y medios de descarga/izaje.</w:t>
      </w:r>
    </w:p>
    <w:p>
      <w:pPr>
        <w:pStyle w:val="ListBullet"/>
        <w:spacing w:after="60"/>
      </w:pPr>
      <w:r>
        <w:t>Integraciones ERP/MES/WMS, interfaces de terceros, licencias, servidores, redes industriales o desarrollo de software no especificado en la oferta final.</w:t>
      </w:r>
    </w:p>
    <w:p>
      <w:pPr>
        <w:pStyle w:val="ListBullet"/>
        <w:spacing w:after="60"/>
      </w:pPr>
      <w:r>
        <w:t>Suministros o cantidades no detallados en el desglose de costes. La inclusión de cargadores, baterías de repuesto, dispositivos de identificación y elementos auxiliares deberá confirmarse contra la configuración KUKA seleccionada.</w:t>
      </w:r>
    </w:p>
    <w:p>
      <w:pPr>
        <w:pStyle w:val="ListBullet"/>
        <w:spacing w:after="60"/>
      </w:pPr>
      <w:r>
        <w:t>Costes de viaje, alojamiento, dietas, aranceles, impuestos, transporte, seguro, trabajos fuera de horario y pérdidas de producción.</w:t>
      </w:r>
    </w:p>
    <w:p>
      <w:pPr>
        <w:pStyle w:val="ListBullet"/>
        <w:spacing w:after="60"/>
      </w:pPr>
      <w:r>
        <w:t>Rendimientos, reducción de mano de obra, ahorro, espacio liberado, disponibilidad o recuperación de OEE no definidos en la matriz contractual de aceptación.</w:t>
      </w:r>
    </w:p>
    <w:p>
      <w:pPr>
        <w:pStyle w:val="Heading2"/>
        <w:keepNext/>
      </w:pPr>
      <w:r>
        <w:t>4.2 Responsabilidades del cliente</w:t>
      </w:r>
    </w:p>
    <w:p>
      <w:pPr>
        <w:pStyle w:val="ListBullet"/>
        <w:spacing w:after="60"/>
      </w:pPr>
      <w:r>
        <w:t>Facilitar plano actualizado, datos de cargas y producción, reglas WIP, ventanas de instalación y responsables de proceso/IT/OT.</w:t>
      </w:r>
    </w:p>
    <w:p>
      <w:pPr>
        <w:pStyle w:val="ListBullet"/>
        <w:spacing w:after="60"/>
      </w:pPr>
      <w:r>
        <w:t>Garantizar suelo, servicios, cobertura de comunicaciones, accesos, permisos, equipos de elevación y área disponible según el calendario acordado.</w:t>
      </w:r>
    </w:p>
    <w:p>
      <w:pPr>
        <w:pStyle w:val="ListBullet"/>
        <w:spacing w:after="60"/>
      </w:pPr>
      <w:r>
        <w:t>Definir qué datos de lote, curado, destino y prioridad están disponibles y autorizar su uso en las interfaces aprobadas.</w:t>
      </w:r>
    </w:p>
    <w:p>
      <w:pPr>
        <w:pStyle w:val="ListBullet"/>
        <w:spacing w:after="60"/>
      </w:pPr>
      <w:r>
        <w:t>Proporcionar producto representativo, operadores y soporte de mantenimiento para FAT/SAT y formación.</w:t>
      </w:r>
    </w:p>
    <w:p>
      <w:pPr>
        <w:pStyle w:val="ListBullet"/>
        <w:spacing w:after="60"/>
      </w:pPr>
      <w:r>
        <w:t>Acordar el procedimiento de operación manual y recuperación para indisponibilidad de flota o incidencias de proceso.</w:t>
      </w:r>
    </w:p>
    <w:p>
      <w:pPr>
        <w:pStyle w:val="Heading1"/>
        <w:keepNext/>
      </w:pPr>
      <w:r>
        <w:t>5. Base comercial pendiente de cierre</w:t>
      </w:r>
    </w:p>
    <w:p>
      <w:r>
        <w:t>El libro COSTES SISTEM AMR WIP PARCIAL.xlsx contiene dos KUKA AMRs a 41.607,75 EUR/unidad. A petición de Cartowa, se añaden tres unidades más a esa misma base unitaria, pendiente de confirmación formal del proveedor. El coste de instalación permanece en la hipótesis del Excel y requiere reconfirmación para cinco unidades. Los importes siguientes son coste interno estimado, no precio de venta ni oferta neta al cliente; margen, precio comercial, Incoterm y gastos completos de desplazamiento para Estados Unidos no están definidos en las fuentes.</w:t>
      </w:r>
    </w:p>
    <w:p>
      <w:pPr>
        <w:pStyle w:val="Heading2"/>
        <w:keepNext/>
      </w:pPr>
      <w:r>
        <w:t>5.1 Coste interno revisado (no constituye precio de venta)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cantSplit/>
        </w:trPr>
        <w:tc>
          <w:tcPr>
            <w:tcW w:type="dxa" w:w="3888"/>
            <w:vAlign w:val="center"/>
            <w:shd w:fill="13283F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Partida</w:t>
            </w:r>
          </w:p>
        </w:tc>
        <w:tc>
          <w:tcPr>
            <w:tcW w:type="dxa" w:w="3600"/>
            <w:vAlign w:val="center"/>
            <w:shd w:fill="13283F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Base de cálculo</w:t>
            </w:r>
          </w:p>
        </w:tc>
        <w:tc>
          <w:tcPr>
            <w:tcW w:type="dxa" w:w="2160"/>
            <w:vAlign w:val="center"/>
            <w:shd w:fill="13283F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EUR</w:t>
            </w:r>
          </w:p>
        </w:tc>
      </w:tr>
      <w:tr>
        <w:trPr>
          <w:cantSplit/>
        </w:trPr>
        <w:tc>
          <w:tcPr>
            <w:tcW w:type="dxa" w:w="3888"/>
            <w:vAlign w:val="center"/>
            <w:shd w:fill="F2F5F7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KUKA AMR — unidades de origen</w:t>
            </w:r>
          </w:p>
        </w:tc>
        <w:tc>
          <w:tcPr>
            <w:tcW w:type="dxa" w:w="3600"/>
            <w:vAlign w:val="center"/>
            <w:shd w:fill="F2F5F7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2 x 41.607,75</w:t>
            </w:r>
          </w:p>
        </w:tc>
        <w:tc>
          <w:tcPr>
            <w:tcW w:type="dxa" w:w="2160"/>
            <w:vAlign w:val="center"/>
            <w:shd w:fill="F2F5F7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83.215,50</w:t>
            </w:r>
          </w:p>
        </w:tc>
      </w:tr>
      <w:tr>
        <w:trPr>
          <w:cantSplit/>
        </w:trPr>
        <w:tc>
          <w:tcPr>
            <w:tcW w:type="dxa" w:w="388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KUKA AMR — unidades adicionales</w:t>
            </w:r>
          </w:p>
        </w:tc>
        <w:tc>
          <w:tcPr>
            <w:tcW w:type="dxa" w:w="360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3 x 41.607,75</w:t>
            </w:r>
          </w:p>
        </w:tc>
        <w:tc>
          <w:tcPr>
            <w:tcW w:type="dxa" w:w="216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124.823,25</w:t>
            </w:r>
          </w:p>
        </w:tc>
      </w:tr>
      <w:tr>
        <w:trPr>
          <w:cantSplit/>
        </w:trPr>
        <w:tc>
          <w:tcPr>
            <w:tcW w:type="dxa" w:w="3888"/>
            <w:vAlign w:val="center"/>
            <w:shd w:fill="F2F5F7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Subtotal cinco KUKA AMRs</w:t>
            </w:r>
          </w:p>
        </w:tc>
        <w:tc>
          <w:tcPr>
            <w:tcW w:type="dxa" w:w="3600"/>
            <w:vAlign w:val="center"/>
            <w:shd w:fill="F2F5F7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5 x 41.607,75</w:t>
            </w:r>
          </w:p>
        </w:tc>
        <w:tc>
          <w:tcPr>
            <w:tcW w:type="dxa" w:w="2160"/>
            <w:vAlign w:val="center"/>
            <w:shd w:fill="F2F5F7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208.038,75</w:t>
            </w:r>
          </w:p>
        </w:tc>
      </w:tr>
      <w:tr>
        <w:trPr>
          <w:cantSplit/>
        </w:trPr>
        <w:tc>
          <w:tcPr>
            <w:tcW w:type="dxa" w:w="388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Resto de BOM, subcontratación e ingeniería</w:t>
            </w:r>
          </w:p>
        </w:tc>
        <w:tc>
          <w:tcPr>
            <w:tcW w:type="dxa" w:w="360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Excel fuente, líneas restantes</w:t>
            </w:r>
          </w:p>
        </w:tc>
        <w:tc>
          <w:tcPr>
            <w:tcW w:type="dxa" w:w="216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163.800,00</w:t>
            </w:r>
          </w:p>
        </w:tc>
      </w:tr>
      <w:tr>
        <w:trPr>
          <w:cantSplit/>
        </w:trPr>
        <w:tc>
          <w:tcPr>
            <w:tcW w:type="dxa" w:w="3888"/>
            <w:vAlign w:val="center"/>
            <w:shd w:fill="F2F5F7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Coste directo revisado</w:t>
            </w:r>
          </w:p>
        </w:tc>
        <w:tc>
          <w:tcPr>
            <w:tcW w:type="dxa" w:w="3600"/>
            <w:vAlign w:val="center"/>
            <w:shd w:fill="F2F5F7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208.038,75 + 163.800,00</w:t>
            </w:r>
          </w:p>
        </w:tc>
        <w:tc>
          <w:tcPr>
            <w:tcW w:type="dxa" w:w="2160"/>
            <w:vAlign w:val="center"/>
            <w:shd w:fill="F2F5F7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371.838,75</w:t>
            </w:r>
          </w:p>
        </w:tc>
      </w:tr>
      <w:tr>
        <w:trPr>
          <w:cantSplit/>
        </w:trPr>
        <w:tc>
          <w:tcPr>
            <w:tcW w:type="dxa" w:w="388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Mano de obra de instalación modelada</w:t>
            </w:r>
          </w:p>
        </w:tc>
        <w:tc>
          <w:tcPr>
            <w:tcW w:type="dxa" w:w="360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17 días x 2 técnicos x 650 EUR/día</w:t>
            </w:r>
          </w:p>
        </w:tc>
        <w:tc>
          <w:tcPr>
            <w:tcW w:type="dxa" w:w="216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22.100,00</w:t>
            </w:r>
          </w:p>
        </w:tc>
      </w:tr>
      <w:tr>
        <w:trPr>
          <w:cantSplit/>
        </w:trPr>
        <w:tc>
          <w:tcPr>
            <w:tcW w:type="dxa" w:w="3888"/>
            <w:vAlign w:val="center"/>
            <w:shd w:fill="F2F5F7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Base interna estimada con instalación</w:t>
            </w:r>
          </w:p>
        </w:tc>
        <w:tc>
          <w:tcPr>
            <w:tcW w:type="dxa" w:w="3600"/>
            <w:vAlign w:val="center"/>
            <w:shd w:fill="F2F5F7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Excluye viajes, gastos y margen</w:t>
            </w:r>
          </w:p>
        </w:tc>
        <w:tc>
          <w:tcPr>
            <w:tcW w:type="dxa" w:w="2160"/>
            <w:vAlign w:val="center"/>
            <w:shd w:fill="F2F5F7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393.938,75</w:t>
            </w:r>
          </w:p>
        </w:tc>
      </w:tr>
    </w:tbl>
    <w:p>
      <w:pPr>
        <w:spacing w:after="20"/>
      </w:pPr>
    </w:p>
    <w:p>
      <w:r>
        <w:t>El coste unitario de los tres robots añadidos replica el coste medio/unidad que resulta de la fórmula del Excel (166.431 EUR / 4 = 41.607,75 EUR); no sustituye una cotización comercial de KUKA para cinco equipos. El paquete de conveyor permanece presupuestado como una partida única de 20.000 EUR, con sus horas de taller listadas separadamente; confirmar que esta cantidad corresponde a la solución de salida doble descrita por Cartowa.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3600"/>
            <w:vAlign w:val="center"/>
            <w:shd w:fill="13283F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Condición</w:t>
            </w:r>
          </w:p>
        </w:tc>
        <w:tc>
          <w:tcPr>
            <w:tcW w:type="dxa" w:w="6912"/>
            <w:vAlign w:val="center"/>
            <w:shd w:fill="13283F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Estado en este borrador</w:t>
            </w:r>
          </w:p>
        </w:tc>
      </w:tr>
      <w:tr>
        <w:trPr>
          <w:cantSplit/>
        </w:trPr>
        <w:tc>
          <w:tcPr>
            <w:tcW w:type="dxa" w:w="3600"/>
            <w:vAlign w:val="center"/>
            <w:shd w:fill="F2F5F7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Precio de suministro y servicios</w:t>
            </w:r>
          </w:p>
        </w:tc>
        <w:tc>
          <w:tcPr>
            <w:tcW w:type="dxa" w:w="6912"/>
            <w:vAlign w:val="center"/>
            <w:shd w:fill="F2F5F7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Pendiente de margen y aprobación comercial; el coste interno estimado R1 es 393.938,75 EUR antes de viajes y gastos no cotizados.</w:t>
            </w:r>
          </w:p>
        </w:tc>
      </w:tr>
      <w:tr>
        <w:trPr>
          <w:cantSplit/>
        </w:trPr>
        <w:tc>
          <w:tcPr>
            <w:tcW w:type="dxa" w:w="360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Incoterm, punto de entrega y transporte</w:t>
            </w:r>
          </w:p>
        </w:tc>
        <w:tc>
          <w:tcPr>
            <w:tcW w:type="dxa" w:w="691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Por confirmar.</w:t>
            </w:r>
          </w:p>
        </w:tc>
      </w:tr>
      <w:tr>
        <w:trPr>
          <w:cantSplit/>
        </w:trPr>
        <w:tc>
          <w:tcPr>
            <w:tcW w:type="dxa" w:w="3600"/>
            <w:vAlign w:val="center"/>
            <w:shd w:fill="F2F5F7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Viajes y gastos de instalación</w:t>
            </w:r>
          </w:p>
        </w:tc>
        <w:tc>
          <w:tcPr>
            <w:tcW w:type="dxa" w:w="6912"/>
            <w:vAlign w:val="center"/>
            <w:shd w:fill="F2F5F7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No definidos en el Excel fuente; cotizar/confirmar separadamente. Revalidar 17 días de instalación para cinco AMRs.</w:t>
            </w:r>
          </w:p>
        </w:tc>
      </w:tr>
      <w:tr>
        <w:trPr>
          <w:cantSplit/>
        </w:trPr>
        <w:tc>
          <w:tcPr>
            <w:tcW w:type="dxa" w:w="360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Plazo, calendario y validez</w:t>
            </w:r>
          </w:p>
        </w:tc>
        <w:tc>
          <w:tcPr>
            <w:tcW w:type="dxa" w:w="691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A establecer tras congelación de datos, confirmación de proveedores y disponibilidad de planta.</w:t>
            </w:r>
          </w:p>
        </w:tc>
      </w:tr>
      <w:tr>
        <w:trPr>
          <w:cantSplit/>
        </w:trPr>
        <w:tc>
          <w:tcPr>
            <w:tcW w:type="dxa" w:w="3600"/>
            <w:vAlign w:val="center"/>
            <w:shd w:fill="F2F5F7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Pago, garantía y condiciones generales</w:t>
            </w:r>
          </w:p>
        </w:tc>
        <w:tc>
          <w:tcPr>
            <w:tcW w:type="dxa" w:w="6912"/>
            <w:vAlign w:val="center"/>
            <w:shd w:fill="F2F5F7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A incorporar en la oferta contractual final.</w:t>
            </w:r>
          </w:p>
        </w:tc>
      </w:tr>
    </w:tbl>
    <w:p>
      <w:pPr>
        <w:spacing w:after="20"/>
      </w:pPr>
    </w:p>
    <w:p>
      <w:pPr>
        <w:spacing w:before="240"/>
      </w:pPr>
      <w:r>
        <w:rPr>
          <w:b/>
        </w:rPr>
        <w:t xml:space="preserve">Fuentes de preparación: </w:t>
      </w:r>
      <w:r>
        <w:t>COSTES SISTEM AMR WIP PARCIAL.xlsx (coste revisado a cinco AMRs); alcance cartogua.txt; KUKA_AMR_WIP_CORRUGATED_TECHNICAL_REPORT.html; informes Calgary de Fases 1, 2 y 3; capítulo AMR de NewCorr_Plant_CORRUGATOR_AREA_INGECART_PROPOSAL_2026-08-26 re3.docx, reescrito para gestión de WIP y alcance parcial.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6C73"/>
        <w:sz w:val="16"/>
      </w:rPr>
      <w:t>Cartowa · AMR WIP Parcial · Borrador R1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b/>
        <w:color w:val="646C73"/>
      </w:rPr>
      <w:t>INGECART  |  AUTOMATIZACIÓN INTRALOGÍSTICA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color w:val="2D333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3283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D95D1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3283F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3283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