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BB2EC3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63482" w:history="1">
            <w:r w:rsidR="00BB2EC3" w:rsidRPr="00CE1C37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BB2EC3">
              <w:rPr>
                <w:rFonts w:eastAsiaTheme="minorEastAsia"/>
                <w:noProof/>
              </w:rPr>
              <w:tab/>
            </w:r>
            <w:r w:rsidR="00BB2EC3" w:rsidRPr="00CE1C37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BB2EC3">
              <w:rPr>
                <w:noProof/>
                <w:webHidden/>
              </w:rPr>
              <w:tab/>
            </w:r>
            <w:r w:rsidR="00BB2EC3">
              <w:rPr>
                <w:noProof/>
                <w:webHidden/>
              </w:rPr>
              <w:fldChar w:fldCharType="begin"/>
            </w:r>
            <w:r w:rsidR="00BB2EC3">
              <w:rPr>
                <w:noProof/>
                <w:webHidden/>
              </w:rPr>
              <w:instrText xml:space="preserve"> PAGEREF _Toc172663482 \h </w:instrText>
            </w:r>
            <w:r w:rsidR="00BB2EC3">
              <w:rPr>
                <w:noProof/>
                <w:webHidden/>
              </w:rPr>
            </w:r>
            <w:r w:rsidR="00BB2EC3"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2</w:t>
            </w:r>
            <w:r w:rsidR="00BB2EC3"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83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663484" w:history="1">
            <w:r w:rsidRPr="00CE1C3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CE1C37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663485" w:history="1">
            <w:r w:rsidRPr="00CE1C37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CE1C37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663486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87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1.2.3 Description textuelles des requêtes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88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89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90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91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92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93" w:history="1">
            <w:r w:rsidRPr="00CE1C37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EC3" w:rsidRDefault="00BB2E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63494" w:history="1">
            <w:r w:rsidRPr="00CE1C37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34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1" w:name="_Toc172663482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1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2" w:name="_Toc172663483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2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proofErr w:type="spellStart"/>
      <w:r w:rsidR="00CE58F0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medical</w:t>
      </w:r>
      <w:proofErr w:type="spellEnd"/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3" w:name="_Toc172663484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3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72663485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4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AF7EE2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663486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5"/>
    </w:p>
    <w:p w:rsidR="00AF7EE2" w:rsidRDefault="00AF7EE2" w:rsidP="00AF7EE2">
      <w:pPr>
        <w:rPr>
          <w:lang w:val="fr-FR"/>
        </w:rPr>
      </w:pPr>
    </w:p>
    <w:p w:rsidR="00C76201" w:rsidRDefault="00C76201" w:rsidP="002C54FA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 xml:space="preserve">2 </w:t>
      </w:r>
      <w:r w:rsidRPr="00C76201"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FC46C0">
      <w:pPr>
        <w:pStyle w:val="ListParagraph"/>
        <w:numPr>
          <w:ilvl w:val="0"/>
          <w:numId w:val="6"/>
        </w:numPr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 xml:space="preserve">2 </w:t>
      </w:r>
      <w:r w:rsidRPr="00C76201"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C646B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 xml:space="preserve">2 </w:t>
      </w:r>
      <w:r w:rsidRPr="00C76201"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6" w:name="_Toc172663487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 xml:space="preserve">1.2.3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6"/>
    </w:p>
    <w:p w:rsidR="00B87037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7" w:name="_Toc172663488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1.2.4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7"/>
    </w:p>
    <w:p w:rsidR="00F65EEC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8" w:name="_Toc172663489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1.2.5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8"/>
    </w:p>
    <w:p w:rsidR="00D9797C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9" w:name="_Toc172663490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1.2.6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associations</w:t>
      </w:r>
      <w:bookmarkEnd w:id="9"/>
    </w:p>
    <w:p w:rsidR="00B13868" w:rsidRPr="00627F57" w:rsidRDefault="00267488" w:rsidP="006A1A4C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2663491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1.2.7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10"/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1" w:name="_Toc172663492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1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663493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663494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AF" w:rsidRDefault="009C28AF" w:rsidP="00C32EEC">
      <w:pPr>
        <w:spacing w:after="0" w:line="240" w:lineRule="auto"/>
      </w:pPr>
      <w:r>
        <w:separator/>
      </w:r>
    </w:p>
  </w:endnote>
  <w:endnote w:type="continuationSeparator" w:id="0">
    <w:p w:rsidR="009C28AF" w:rsidRDefault="009C28AF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4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AF" w:rsidRDefault="009C28AF" w:rsidP="00C32EEC">
      <w:pPr>
        <w:spacing w:after="0" w:line="240" w:lineRule="auto"/>
      </w:pPr>
      <w:r>
        <w:separator/>
      </w:r>
    </w:p>
  </w:footnote>
  <w:footnote w:type="continuationSeparator" w:id="0">
    <w:p w:rsidR="009C28AF" w:rsidRDefault="009C28AF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4417D4"/>
    <w:multiLevelType w:val="hybridMultilevel"/>
    <w:tmpl w:val="A6B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5530E9D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F110D"/>
    <w:multiLevelType w:val="hybridMultilevel"/>
    <w:tmpl w:val="B31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03C2F"/>
    <w:multiLevelType w:val="hybridMultilevel"/>
    <w:tmpl w:val="4C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C04BAD"/>
    <w:multiLevelType w:val="hybridMultilevel"/>
    <w:tmpl w:val="0360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647DB"/>
    <w:rsid w:val="00066988"/>
    <w:rsid w:val="000B2519"/>
    <w:rsid w:val="000C6959"/>
    <w:rsid w:val="000F726C"/>
    <w:rsid w:val="001124B2"/>
    <w:rsid w:val="00127F15"/>
    <w:rsid w:val="0013386E"/>
    <w:rsid w:val="00143AE4"/>
    <w:rsid w:val="001530FC"/>
    <w:rsid w:val="001600CD"/>
    <w:rsid w:val="001A577B"/>
    <w:rsid w:val="001C7675"/>
    <w:rsid w:val="001D030D"/>
    <w:rsid w:val="00225C24"/>
    <w:rsid w:val="00267488"/>
    <w:rsid w:val="0027604B"/>
    <w:rsid w:val="00293D02"/>
    <w:rsid w:val="002C54FA"/>
    <w:rsid w:val="002E37B8"/>
    <w:rsid w:val="002F314D"/>
    <w:rsid w:val="00312B1E"/>
    <w:rsid w:val="00333D2E"/>
    <w:rsid w:val="00343F6F"/>
    <w:rsid w:val="003465B7"/>
    <w:rsid w:val="003566E0"/>
    <w:rsid w:val="00371EC8"/>
    <w:rsid w:val="003B34DC"/>
    <w:rsid w:val="003E5F1D"/>
    <w:rsid w:val="00413170"/>
    <w:rsid w:val="00430ADB"/>
    <w:rsid w:val="00473959"/>
    <w:rsid w:val="00486D6C"/>
    <w:rsid w:val="004A0391"/>
    <w:rsid w:val="004B39F8"/>
    <w:rsid w:val="00500D1B"/>
    <w:rsid w:val="00502D0E"/>
    <w:rsid w:val="00546CD9"/>
    <w:rsid w:val="00556CEE"/>
    <w:rsid w:val="005668D7"/>
    <w:rsid w:val="00585766"/>
    <w:rsid w:val="00594A08"/>
    <w:rsid w:val="005B306D"/>
    <w:rsid w:val="005E16A8"/>
    <w:rsid w:val="0060345B"/>
    <w:rsid w:val="006149D1"/>
    <w:rsid w:val="00627F57"/>
    <w:rsid w:val="006A1A4C"/>
    <w:rsid w:val="0076164E"/>
    <w:rsid w:val="00763053"/>
    <w:rsid w:val="007830DF"/>
    <w:rsid w:val="007A0F26"/>
    <w:rsid w:val="007B08CE"/>
    <w:rsid w:val="007C6DB1"/>
    <w:rsid w:val="007C7A12"/>
    <w:rsid w:val="007F1CD7"/>
    <w:rsid w:val="00800EAC"/>
    <w:rsid w:val="00822536"/>
    <w:rsid w:val="00853CD5"/>
    <w:rsid w:val="00895183"/>
    <w:rsid w:val="008A1EDB"/>
    <w:rsid w:val="00985B23"/>
    <w:rsid w:val="009B29CD"/>
    <w:rsid w:val="009C28AF"/>
    <w:rsid w:val="009D0135"/>
    <w:rsid w:val="00A44C88"/>
    <w:rsid w:val="00A979C2"/>
    <w:rsid w:val="00AC7901"/>
    <w:rsid w:val="00AF2E00"/>
    <w:rsid w:val="00AF7EE2"/>
    <w:rsid w:val="00B016B4"/>
    <w:rsid w:val="00B13868"/>
    <w:rsid w:val="00B32228"/>
    <w:rsid w:val="00B4452E"/>
    <w:rsid w:val="00B649CA"/>
    <w:rsid w:val="00B87037"/>
    <w:rsid w:val="00B94851"/>
    <w:rsid w:val="00BB1487"/>
    <w:rsid w:val="00BB2669"/>
    <w:rsid w:val="00BB2EC3"/>
    <w:rsid w:val="00BB44D6"/>
    <w:rsid w:val="00BB4DA8"/>
    <w:rsid w:val="00BD7E87"/>
    <w:rsid w:val="00BE2305"/>
    <w:rsid w:val="00BE496D"/>
    <w:rsid w:val="00C1791D"/>
    <w:rsid w:val="00C32EEC"/>
    <w:rsid w:val="00C646BD"/>
    <w:rsid w:val="00C76201"/>
    <w:rsid w:val="00C80660"/>
    <w:rsid w:val="00C813E2"/>
    <w:rsid w:val="00C91EAD"/>
    <w:rsid w:val="00CE3C6C"/>
    <w:rsid w:val="00CE58F0"/>
    <w:rsid w:val="00CE5FF8"/>
    <w:rsid w:val="00CE70D0"/>
    <w:rsid w:val="00D20D2B"/>
    <w:rsid w:val="00D23B36"/>
    <w:rsid w:val="00D32993"/>
    <w:rsid w:val="00D477B5"/>
    <w:rsid w:val="00D9797C"/>
    <w:rsid w:val="00DE778F"/>
    <w:rsid w:val="00E247D3"/>
    <w:rsid w:val="00E37435"/>
    <w:rsid w:val="00E5059E"/>
    <w:rsid w:val="00E82A88"/>
    <w:rsid w:val="00E967C2"/>
    <w:rsid w:val="00F55675"/>
    <w:rsid w:val="00F65EEC"/>
    <w:rsid w:val="00FA3260"/>
    <w:rsid w:val="00FB5CA9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342A5-16ED-430A-93D6-2A8232AD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114</cp:revision>
  <cp:lastPrinted>2024-07-24T01:45:00Z</cp:lastPrinted>
  <dcterms:created xsi:type="dcterms:W3CDTF">2024-07-23T23:08:00Z</dcterms:created>
  <dcterms:modified xsi:type="dcterms:W3CDTF">2024-07-24T01:47:00Z</dcterms:modified>
</cp:coreProperties>
</file>