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1326" w14:textId="4732558E" w:rsidR="003210E7" w:rsidRPr="00180EBB" w:rsidRDefault="00644D57" w:rsidP="00180EBB">
      <w:pPr>
        <w:jc w:val="center"/>
        <w:rPr>
          <w:sz w:val="40"/>
          <w:szCs w:val="40"/>
        </w:rPr>
      </w:pPr>
      <w:r w:rsidRPr="00180EBB">
        <w:rPr>
          <w:b/>
          <w:sz w:val="40"/>
          <w:szCs w:val="40"/>
        </w:rPr>
        <w:t>Metadata for cleaned datasets</w:t>
      </w:r>
    </w:p>
    <w:p w14:paraId="0EA49EAB" w14:textId="1B15C2DD" w:rsidR="00C54474" w:rsidRPr="00644D57" w:rsidRDefault="00C54474" w:rsidP="00644D57">
      <w:pPr>
        <w:rPr>
          <w:sz w:val="16"/>
          <w:szCs w:val="16"/>
        </w:rPr>
      </w:pPr>
    </w:p>
    <w:p w14:paraId="142DBE67" w14:textId="77777777" w:rsidR="00C54474" w:rsidRPr="00180EBB" w:rsidRDefault="00C54474">
      <w:pPr>
        <w:rPr>
          <w:sz w:val="16"/>
          <w:szCs w:val="16"/>
        </w:rPr>
      </w:pPr>
    </w:p>
    <w:p w14:paraId="7DC87D42" w14:textId="10F382F4" w:rsidR="003210E7" w:rsidRPr="00AE27BD" w:rsidRDefault="00180EBB" w:rsidP="00AE27B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AE27BD">
        <w:rPr>
          <w:sz w:val="30"/>
          <w:szCs w:val="30"/>
        </w:rPr>
        <w:t>cleaned_t</w:t>
      </w:r>
      <w:r w:rsidR="00644D57" w:rsidRPr="00AE27BD">
        <w:rPr>
          <w:sz w:val="30"/>
          <w:szCs w:val="30"/>
        </w:rPr>
        <w:t>heUS_adult</w:t>
      </w:r>
      <w:proofErr w:type="spellEnd"/>
      <w:r w:rsidR="00644D57" w:rsidRPr="00AE27BD">
        <w:rPr>
          <w:sz w:val="30"/>
          <w:szCs w:val="30"/>
        </w:rPr>
        <w:t xml:space="preserve"> dataset: </w:t>
      </w:r>
    </w:p>
    <w:p w14:paraId="1BB403CD" w14:textId="77777777" w:rsidR="00F5267B" w:rsidRDefault="00F5267B" w:rsidP="00F5267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267B">
        <w:rPr>
          <w:sz w:val="24"/>
          <w:szCs w:val="24"/>
        </w:rPr>
        <w:t xml:space="preserve">Structure: </w:t>
      </w:r>
    </w:p>
    <w:p w14:paraId="109E6FB9" w14:textId="4C8B6BD1" w:rsidR="00F5267B" w:rsidRPr="00F5267B" w:rsidRDefault="00644D57" w:rsidP="00F5267B">
      <w:pPr>
        <w:pStyle w:val="ListParagraph"/>
        <w:rPr>
          <w:sz w:val="24"/>
          <w:szCs w:val="24"/>
        </w:rPr>
      </w:pPr>
      <w:r w:rsidRPr="00F5267B">
        <w:rPr>
          <w:sz w:val="24"/>
          <w:szCs w:val="24"/>
        </w:rPr>
        <w:t>27504 rows, 8 columns</w:t>
      </w:r>
    </w:p>
    <w:p w14:paraId="3E59E4CD" w14:textId="77777777" w:rsidR="00F5267B" w:rsidRPr="00AE27BD" w:rsidRDefault="00F5267B">
      <w:pPr>
        <w:rPr>
          <w:sz w:val="24"/>
          <w:szCs w:val="24"/>
        </w:rP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41"/>
        <w:gridCol w:w="1559"/>
        <w:gridCol w:w="4065"/>
      </w:tblGrid>
      <w:tr w:rsidR="003210E7" w:rsidRPr="00180EBB" w14:paraId="45E7FFC8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D090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Field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17D9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Unit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E37C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Type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C511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Meaning</w:t>
            </w:r>
          </w:p>
        </w:tc>
      </w:tr>
      <w:tr w:rsidR="00AE27BD" w:rsidRPr="00180EBB" w14:paraId="135A4D3B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BB22" w14:textId="075F7B22" w:rsidR="00AE27BD" w:rsidRPr="00180EBB" w:rsidRDefault="00AE27BD" w:rsidP="00AE27BD">
            <w:pPr>
              <w:rPr>
                <w:sz w:val="16"/>
                <w:szCs w:val="16"/>
              </w:rPr>
            </w:pPr>
            <w:r w:rsidRPr="00AE27BD">
              <w:rPr>
                <w:sz w:val="16"/>
                <w:szCs w:val="16"/>
              </w:rPr>
              <w:t>Unnamed: 0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E876" w14:textId="75037940" w:rsidR="00AE27BD" w:rsidRPr="00180EBB" w:rsidRDefault="00AE27BD" w:rsidP="00AE27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B9ED" w14:textId="214F8B68" w:rsidR="00AE27BD" w:rsidRPr="00180EBB" w:rsidRDefault="00AE27BD" w:rsidP="00AE27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Int64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A8BD" w14:textId="3EB08D5B" w:rsidR="00AE27BD" w:rsidRPr="00180EBB" w:rsidRDefault="00AE27BD" w:rsidP="00AE27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Original indices(ignored)</w:t>
            </w:r>
          </w:p>
        </w:tc>
      </w:tr>
      <w:tr w:rsidR="003210E7" w:rsidRPr="00180EBB" w14:paraId="4A83FB8B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6FE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age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D839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Years old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D68D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int64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C2E0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Ages of people in the U.S.</w:t>
            </w:r>
          </w:p>
        </w:tc>
      </w:tr>
      <w:tr w:rsidR="003210E7" w:rsidRPr="00180EBB" w14:paraId="3F376F0B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DA1D" w14:textId="77777777" w:rsidR="003210E7" w:rsidRPr="00180EBB" w:rsidRDefault="00644D57">
            <w:pPr>
              <w:rPr>
                <w:sz w:val="16"/>
                <w:szCs w:val="16"/>
              </w:rPr>
            </w:pPr>
            <w:proofErr w:type="spellStart"/>
            <w:r w:rsidRPr="00180EBB">
              <w:rPr>
                <w:sz w:val="16"/>
                <w:szCs w:val="16"/>
              </w:rPr>
              <w:t>education.num</w:t>
            </w:r>
            <w:proofErr w:type="spell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637A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0A1A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int64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590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Educational attainment by number: 1(low)-16(high)</w:t>
            </w:r>
          </w:p>
        </w:tc>
      </w:tr>
      <w:tr w:rsidR="003210E7" w:rsidRPr="00180EBB" w14:paraId="2ABFFF19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C8A5" w14:textId="1559B9A1" w:rsidR="003210E7" w:rsidRPr="00180EBB" w:rsidRDefault="00C54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644D57" w:rsidRPr="00180EBB">
              <w:rPr>
                <w:sz w:val="16"/>
                <w:szCs w:val="16"/>
              </w:rPr>
              <w:t>ccupatio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3F00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3C4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object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EE48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</w:tr>
      <w:tr w:rsidR="003210E7" w:rsidRPr="00180EBB" w14:paraId="67385689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2BBD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race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BA56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7CCB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object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1B7D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</w:tr>
      <w:tr w:rsidR="003210E7" w:rsidRPr="00180EBB" w14:paraId="103A0F67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C016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sex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0D52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CA0C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object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FE3B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Male / Female</w:t>
            </w:r>
          </w:p>
        </w:tc>
      </w:tr>
      <w:tr w:rsidR="003210E7" w:rsidRPr="00180EBB" w14:paraId="637527EC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A089" w14:textId="77777777" w:rsidR="003210E7" w:rsidRPr="00180EBB" w:rsidRDefault="00644D5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80EBB">
              <w:rPr>
                <w:sz w:val="16"/>
                <w:szCs w:val="16"/>
              </w:rPr>
              <w:t>hours.per.week</w:t>
            </w:r>
            <w:proofErr w:type="spellEnd"/>
            <w:proofErr w:type="gramEnd"/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717F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hour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0B27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int64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8DF1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Working hours per week in the U.S.</w:t>
            </w:r>
          </w:p>
        </w:tc>
      </w:tr>
      <w:tr w:rsidR="003210E7" w:rsidRPr="00180EBB" w14:paraId="5337A94E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6C9E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native country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A1BE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E6A3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object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BA5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\</w:t>
            </w:r>
          </w:p>
        </w:tc>
      </w:tr>
      <w:tr w:rsidR="003210E7" w:rsidRPr="00180EBB" w14:paraId="5F254BF8" w14:textId="77777777" w:rsidTr="00C5447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F04D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income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8115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dollar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C492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object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286" w14:textId="77777777" w:rsidR="003210E7" w:rsidRPr="00180EBB" w:rsidRDefault="00644D57">
            <w:pPr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Income of people in the U.S.: &lt;=50K or &gt;50K</w:t>
            </w:r>
          </w:p>
        </w:tc>
      </w:tr>
    </w:tbl>
    <w:p w14:paraId="34E05943" w14:textId="0B14F024" w:rsidR="003210E7" w:rsidRDefault="003210E7">
      <w:pPr>
        <w:rPr>
          <w:sz w:val="16"/>
          <w:szCs w:val="16"/>
        </w:rPr>
      </w:pPr>
    </w:p>
    <w:p w14:paraId="3D4D3A78" w14:textId="56C8D992" w:rsidR="00C54474" w:rsidRDefault="00C54474">
      <w:pPr>
        <w:rPr>
          <w:sz w:val="16"/>
          <w:szCs w:val="16"/>
        </w:rPr>
      </w:pPr>
    </w:p>
    <w:p w14:paraId="724F96EB" w14:textId="725DB040" w:rsidR="00C54474" w:rsidRDefault="00C54474">
      <w:pPr>
        <w:rPr>
          <w:sz w:val="16"/>
          <w:szCs w:val="16"/>
        </w:rPr>
      </w:pPr>
    </w:p>
    <w:p w14:paraId="0F3F8342" w14:textId="129B4622" w:rsidR="00C54474" w:rsidRDefault="00C54474">
      <w:pPr>
        <w:rPr>
          <w:sz w:val="16"/>
          <w:szCs w:val="16"/>
        </w:rPr>
      </w:pPr>
    </w:p>
    <w:p w14:paraId="430BB370" w14:textId="2CE14B17" w:rsidR="00C54474" w:rsidRDefault="00C54474">
      <w:pPr>
        <w:rPr>
          <w:sz w:val="16"/>
          <w:szCs w:val="16"/>
        </w:rPr>
      </w:pPr>
    </w:p>
    <w:p w14:paraId="5A0A6AAD" w14:textId="5CAB46F6" w:rsidR="00644D57" w:rsidRDefault="00644D57">
      <w:pPr>
        <w:rPr>
          <w:sz w:val="16"/>
          <w:szCs w:val="16"/>
        </w:rPr>
      </w:pPr>
    </w:p>
    <w:p w14:paraId="31CE3C96" w14:textId="77777777" w:rsidR="00644D57" w:rsidRDefault="00644D57">
      <w:pPr>
        <w:rPr>
          <w:sz w:val="16"/>
          <w:szCs w:val="16"/>
        </w:rPr>
      </w:pPr>
    </w:p>
    <w:p w14:paraId="2E3C1DBE" w14:textId="534DDB0A" w:rsidR="00C54474" w:rsidRDefault="00C54474">
      <w:pPr>
        <w:rPr>
          <w:sz w:val="16"/>
          <w:szCs w:val="16"/>
        </w:rPr>
      </w:pPr>
    </w:p>
    <w:p w14:paraId="6CD8E061" w14:textId="5724C998" w:rsidR="00C54474" w:rsidRDefault="00C54474">
      <w:pPr>
        <w:rPr>
          <w:sz w:val="16"/>
          <w:szCs w:val="16"/>
        </w:rPr>
      </w:pPr>
    </w:p>
    <w:p w14:paraId="7744C069" w14:textId="77777777" w:rsidR="00C54474" w:rsidRPr="00180EBB" w:rsidRDefault="00C54474">
      <w:pPr>
        <w:rPr>
          <w:sz w:val="16"/>
          <w:szCs w:val="16"/>
        </w:rPr>
      </w:pPr>
    </w:p>
    <w:p w14:paraId="03721A6E" w14:textId="7ACBF1B3" w:rsidR="00F5267B" w:rsidRPr="00644D57" w:rsidRDefault="00644D57" w:rsidP="00F5267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E27BD">
        <w:rPr>
          <w:sz w:val="30"/>
          <w:szCs w:val="30"/>
        </w:rPr>
        <w:t>The education and earning dataset</w:t>
      </w:r>
      <w:r w:rsidR="00AE27BD">
        <w:rPr>
          <w:sz w:val="30"/>
          <w:szCs w:val="30"/>
        </w:rPr>
        <w:t xml:space="preserve"> (cleaned_earning.csv)</w:t>
      </w:r>
      <w:r w:rsidRPr="00AE27BD">
        <w:rPr>
          <w:sz w:val="30"/>
          <w:szCs w:val="30"/>
        </w:rPr>
        <w:t>:</w:t>
      </w:r>
    </w:p>
    <w:p w14:paraId="378EDB6A" w14:textId="77777777" w:rsidR="00F5267B" w:rsidRDefault="00F5267B" w:rsidP="00F5267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267B">
        <w:rPr>
          <w:sz w:val="24"/>
          <w:szCs w:val="24"/>
        </w:rPr>
        <w:t>Structure:</w:t>
      </w:r>
      <w:r>
        <w:rPr>
          <w:sz w:val="24"/>
          <w:szCs w:val="24"/>
        </w:rPr>
        <w:t xml:space="preserve"> </w:t>
      </w:r>
    </w:p>
    <w:p w14:paraId="091A31E1" w14:textId="7E844559" w:rsidR="00F5267B" w:rsidRPr="00C54474" w:rsidRDefault="00AE27BD" w:rsidP="00F5267B">
      <w:pPr>
        <w:pStyle w:val="ListParagraph"/>
        <w:rPr>
          <w:sz w:val="24"/>
          <w:szCs w:val="24"/>
        </w:rPr>
      </w:pPr>
      <w:r w:rsidRPr="00F5267B">
        <w:rPr>
          <w:sz w:val="24"/>
          <w:szCs w:val="24"/>
        </w:rPr>
        <w:t>123</w:t>
      </w:r>
      <w:r w:rsidRPr="00F5267B">
        <w:rPr>
          <w:sz w:val="24"/>
          <w:szCs w:val="24"/>
          <w:lang w:val="en-US"/>
        </w:rPr>
        <w:t>611</w:t>
      </w:r>
      <w:r w:rsidRPr="00F5267B">
        <w:rPr>
          <w:sz w:val="24"/>
          <w:szCs w:val="24"/>
        </w:rPr>
        <w:t xml:space="preserve"> rows, </w:t>
      </w:r>
      <w:r w:rsidRPr="00F5267B">
        <w:rPr>
          <w:sz w:val="24"/>
          <w:szCs w:val="24"/>
          <w:lang w:val="en-US"/>
        </w:rPr>
        <w:t>7</w:t>
      </w:r>
      <w:r w:rsidRPr="00F5267B">
        <w:rPr>
          <w:sz w:val="24"/>
          <w:szCs w:val="24"/>
        </w:rPr>
        <w:t xml:space="preserve"> columns</w:t>
      </w:r>
    </w:p>
    <w:p w14:paraId="649BD0F1" w14:textId="77777777" w:rsidR="003210E7" w:rsidRPr="00180EBB" w:rsidRDefault="003210E7" w:rsidP="00C54474">
      <w:pPr>
        <w:widowControl w:val="0"/>
        <w:spacing w:line="240" w:lineRule="auto"/>
        <w:rPr>
          <w:sz w:val="16"/>
          <w:szCs w:val="16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418"/>
        <w:gridCol w:w="1559"/>
        <w:gridCol w:w="3794"/>
      </w:tblGrid>
      <w:tr w:rsidR="003210E7" w:rsidRPr="00C54474" w14:paraId="03BCB72D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9EB1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Field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D0C7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Unit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5262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Type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F9E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Meaning</w:t>
            </w:r>
          </w:p>
        </w:tc>
      </w:tr>
      <w:tr w:rsidR="00AE27BD" w:rsidRPr="00C54474" w14:paraId="2817F848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46B9" w14:textId="29D977D4" w:rsidR="00AE27BD" w:rsidRPr="00C54474" w:rsidRDefault="00AE27BD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Unnamed: 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20F" w14:textId="16D6C387" w:rsidR="00AE27BD" w:rsidRPr="00C54474" w:rsidRDefault="00AE27BD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14E6" w14:textId="270B564A" w:rsidR="00AE27BD" w:rsidRPr="00C54474" w:rsidRDefault="00AE27BD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Int64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8129" w14:textId="09637560" w:rsidR="00AE27BD" w:rsidRPr="00C54474" w:rsidRDefault="00AE27BD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Original indices(ignored)</w:t>
            </w:r>
          </w:p>
        </w:tc>
      </w:tr>
      <w:tr w:rsidR="003210E7" w:rsidRPr="00C54474" w14:paraId="6940E527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E45A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Country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5AF1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87F9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object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2CAE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States</w:t>
            </w:r>
          </w:p>
        </w:tc>
      </w:tr>
      <w:tr w:rsidR="003210E7" w:rsidRPr="00C54474" w14:paraId="66F014CB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01E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ISC1_LEVEL_CAT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9EC5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A663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object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EDFF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Level of education background</w:t>
            </w:r>
          </w:p>
        </w:tc>
      </w:tr>
      <w:tr w:rsidR="003210E7" w:rsidRPr="00C54474" w14:paraId="24D3D0C6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A2B0" w14:textId="77777777" w:rsidR="003210E7" w:rsidRPr="00C54474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Gender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05D6" w14:textId="77777777" w:rsidR="003210E7" w:rsidRPr="00C54474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E305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object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0F76" w14:textId="77777777" w:rsidR="003210E7" w:rsidRPr="00C54474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Gender of data acquisition object</w:t>
            </w:r>
          </w:p>
        </w:tc>
      </w:tr>
      <w:tr w:rsidR="003210E7" w:rsidRPr="00C54474" w14:paraId="0261BE53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0A88" w14:textId="77777777" w:rsidR="003210E7" w:rsidRPr="00C54474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income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E2A4" w14:textId="77777777" w:rsidR="003210E7" w:rsidRPr="00C54474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percentage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8253" w14:textId="77777777" w:rsidR="003210E7" w:rsidRPr="00C54474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int64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6E57" w14:textId="77777777" w:rsidR="003210E7" w:rsidRPr="00C54474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Income of data acquisition object</w:t>
            </w:r>
          </w:p>
        </w:tc>
      </w:tr>
      <w:tr w:rsidR="00AE27BD" w:rsidRPr="00C54474" w14:paraId="2ADF80A7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10DE" w14:textId="29FE7BBE" w:rsidR="00AE27BD" w:rsidRPr="00C54474" w:rsidRDefault="00AE27BD" w:rsidP="00AE27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 xml:space="preserve">Education level and </w:t>
            </w:r>
            <w:proofErr w:type="spellStart"/>
            <w:r w:rsidRPr="00C54474">
              <w:rPr>
                <w:sz w:val="16"/>
                <w:szCs w:val="16"/>
              </w:rPr>
              <w:t>programe</w:t>
            </w:r>
            <w:proofErr w:type="spellEnd"/>
            <w:r w:rsidRPr="00C54474">
              <w:rPr>
                <w:sz w:val="16"/>
                <w:szCs w:val="16"/>
              </w:rPr>
              <w:t xml:space="preserve"> orientation     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DE73" w14:textId="34EFA706" w:rsidR="00AE27BD" w:rsidRPr="00C54474" w:rsidRDefault="00AE27BD" w:rsidP="00AE27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DEC2" w14:textId="5B225D30" w:rsidR="00AE27BD" w:rsidRPr="00C54474" w:rsidRDefault="00AE27BD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object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916B" w14:textId="6CACBB77" w:rsidR="00AE27BD" w:rsidRPr="00C54474" w:rsidRDefault="00C54474" w:rsidP="00AE27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 xml:space="preserve">Education level and program orientation      </w:t>
            </w:r>
          </w:p>
        </w:tc>
      </w:tr>
      <w:tr w:rsidR="003210E7" w:rsidRPr="00C54474" w14:paraId="08F73BB8" w14:textId="77777777" w:rsidTr="00C5447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AE6" w14:textId="77777777" w:rsidR="003210E7" w:rsidRPr="00180EBB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180EBB">
              <w:rPr>
                <w:sz w:val="16"/>
                <w:szCs w:val="16"/>
              </w:rPr>
              <w:t>Grad_Rate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B4F6" w14:textId="77777777" w:rsidR="003210E7" w:rsidRPr="00180EBB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percentage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386E" w14:textId="77777777" w:rsidR="003210E7" w:rsidRPr="00180EBB" w:rsidRDefault="00644D57" w:rsidP="00C544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int64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9F91" w14:textId="77777777" w:rsidR="003210E7" w:rsidRPr="00180EBB" w:rsidRDefault="00644D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80EBB">
              <w:rPr>
                <w:sz w:val="16"/>
                <w:szCs w:val="16"/>
              </w:rPr>
              <w:t>Graduation rate of education background</w:t>
            </w:r>
          </w:p>
        </w:tc>
      </w:tr>
    </w:tbl>
    <w:p w14:paraId="72ADA80D" w14:textId="77777777" w:rsidR="00C54474" w:rsidRDefault="00C54474">
      <w:pPr>
        <w:rPr>
          <w:sz w:val="16"/>
          <w:szCs w:val="16"/>
        </w:rPr>
      </w:pPr>
    </w:p>
    <w:p w14:paraId="31CD8BAD" w14:textId="3C130C59" w:rsidR="00AE27BD" w:rsidRPr="00AE27BD" w:rsidRDefault="00AE27BD" w:rsidP="00AE27B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AE27BD">
        <w:rPr>
          <w:sz w:val="30"/>
          <w:szCs w:val="30"/>
        </w:rPr>
        <w:lastRenderedPageBreak/>
        <w:t>cleaned_HR_Employee_Attrition</w:t>
      </w:r>
      <w:proofErr w:type="spellEnd"/>
      <w:r w:rsidRPr="00AE27BD">
        <w:rPr>
          <w:sz w:val="30"/>
          <w:szCs w:val="30"/>
        </w:rPr>
        <w:t xml:space="preserve"> dataset</w:t>
      </w:r>
      <w:r>
        <w:rPr>
          <w:sz w:val="30"/>
          <w:szCs w:val="30"/>
        </w:rPr>
        <w:t>:</w:t>
      </w:r>
    </w:p>
    <w:p w14:paraId="39AB9B03" w14:textId="77777777" w:rsidR="00F5267B" w:rsidRDefault="00F5267B" w:rsidP="00F526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Structure:</w:t>
      </w:r>
    </w:p>
    <w:p w14:paraId="15F5A4D6" w14:textId="50909F66" w:rsidR="00AE27BD" w:rsidRPr="00F5267B" w:rsidRDefault="00AE27BD" w:rsidP="00F5267B">
      <w:pPr>
        <w:pStyle w:val="ListParagraph"/>
        <w:rPr>
          <w:sz w:val="24"/>
          <w:szCs w:val="24"/>
          <w:lang w:val="en-US"/>
        </w:rPr>
      </w:pPr>
      <w:r w:rsidRPr="00F5267B">
        <w:rPr>
          <w:sz w:val="24"/>
          <w:szCs w:val="24"/>
          <w:lang w:val="en-US"/>
        </w:rPr>
        <w:t>1470 rows</w:t>
      </w:r>
      <w:r w:rsidR="00F5267B">
        <w:rPr>
          <w:sz w:val="24"/>
          <w:szCs w:val="24"/>
          <w:lang w:val="en-US"/>
        </w:rPr>
        <w:t>,</w:t>
      </w:r>
      <w:r w:rsidRPr="00F5267B">
        <w:rPr>
          <w:sz w:val="24"/>
          <w:szCs w:val="24"/>
          <w:lang w:val="en-US"/>
        </w:rPr>
        <w:t xml:space="preserve"> 28 columns</w:t>
      </w:r>
    </w:p>
    <w:p w14:paraId="6221F3EB" w14:textId="77D81EFB" w:rsidR="003210E7" w:rsidRPr="00180EBB" w:rsidRDefault="00513287">
      <w:pPr>
        <w:rPr>
          <w:sz w:val="13"/>
          <w:szCs w:val="13"/>
        </w:rPr>
      </w:pPr>
      <w:r w:rsidRPr="00513287">
        <w:rPr>
          <w:sz w:val="13"/>
          <w:szCs w:val="13"/>
        </w:rPr>
        <w:drawing>
          <wp:inline distT="0" distB="0" distL="0" distR="0" wp14:anchorId="39298868" wp14:editId="0962D620">
            <wp:extent cx="5435600" cy="7404100"/>
            <wp:effectExtent l="0" t="0" r="0" b="0"/>
            <wp:docPr id="1" name="Picture 1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AE8" w14:textId="77777777" w:rsidR="003210E7" w:rsidRPr="00180EBB" w:rsidRDefault="003210E7">
      <w:pPr>
        <w:rPr>
          <w:sz w:val="13"/>
          <w:szCs w:val="13"/>
        </w:rPr>
      </w:pPr>
    </w:p>
    <w:p w14:paraId="08875CA3" w14:textId="77777777" w:rsidR="003210E7" w:rsidRPr="00180EBB" w:rsidRDefault="003210E7">
      <w:pPr>
        <w:rPr>
          <w:sz w:val="16"/>
          <w:szCs w:val="16"/>
        </w:rPr>
      </w:pPr>
    </w:p>
    <w:p w14:paraId="4BF99156" w14:textId="77777777" w:rsidR="003210E7" w:rsidRPr="00180EBB" w:rsidRDefault="003210E7">
      <w:pPr>
        <w:rPr>
          <w:sz w:val="16"/>
          <w:szCs w:val="16"/>
        </w:rPr>
      </w:pPr>
    </w:p>
    <w:p w14:paraId="40496BF4" w14:textId="10E428D5" w:rsidR="003210E7" w:rsidRDefault="003210E7">
      <w:pPr>
        <w:rPr>
          <w:sz w:val="16"/>
          <w:szCs w:val="16"/>
        </w:rPr>
      </w:pPr>
    </w:p>
    <w:p w14:paraId="6E540224" w14:textId="29D8F726" w:rsidR="00180EBB" w:rsidRDefault="00180EBB">
      <w:pPr>
        <w:rPr>
          <w:sz w:val="16"/>
          <w:szCs w:val="16"/>
        </w:rPr>
      </w:pPr>
    </w:p>
    <w:p w14:paraId="038E39C3" w14:textId="77777777" w:rsidR="00AE27BD" w:rsidRDefault="00AE27BD">
      <w:pPr>
        <w:rPr>
          <w:sz w:val="16"/>
          <w:szCs w:val="16"/>
        </w:rPr>
      </w:pPr>
    </w:p>
    <w:p w14:paraId="4FEEB66C" w14:textId="77777777" w:rsidR="00180EBB" w:rsidRPr="00180EBB" w:rsidRDefault="00180EBB">
      <w:pPr>
        <w:rPr>
          <w:sz w:val="16"/>
          <w:szCs w:val="16"/>
        </w:rPr>
      </w:pPr>
    </w:p>
    <w:p w14:paraId="5BBF5611" w14:textId="6C661DC0" w:rsidR="003210E7" w:rsidRPr="00AE27BD" w:rsidRDefault="00644D57" w:rsidP="00AE27B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E27BD">
        <w:rPr>
          <w:sz w:val="30"/>
          <w:szCs w:val="30"/>
        </w:rPr>
        <w:t>The salary dataset</w:t>
      </w:r>
      <w:r w:rsidR="00AE27BD">
        <w:rPr>
          <w:sz w:val="30"/>
          <w:szCs w:val="30"/>
        </w:rPr>
        <w:t xml:space="preserve"> (</w:t>
      </w:r>
      <w:r w:rsidR="00AE27BD" w:rsidRPr="00AE27BD">
        <w:rPr>
          <w:sz w:val="30"/>
          <w:szCs w:val="30"/>
        </w:rPr>
        <w:t>project1_salary(clean)</w:t>
      </w:r>
      <w:r w:rsidR="00AE27BD">
        <w:rPr>
          <w:sz w:val="30"/>
          <w:szCs w:val="30"/>
        </w:rPr>
        <w:t>.csv)</w:t>
      </w:r>
      <w:r w:rsidRPr="00AE27BD">
        <w:rPr>
          <w:sz w:val="30"/>
          <w:szCs w:val="30"/>
        </w:rPr>
        <w:t xml:space="preserve">: </w:t>
      </w:r>
    </w:p>
    <w:p w14:paraId="16750AB4" w14:textId="77777777" w:rsidR="00F5267B" w:rsidRDefault="00F5267B" w:rsidP="00F526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Structure:</w:t>
      </w:r>
    </w:p>
    <w:p w14:paraId="5655AFA1" w14:textId="69CBE390" w:rsidR="003210E7" w:rsidRPr="00F5267B" w:rsidRDefault="00644D57" w:rsidP="00F5267B">
      <w:pPr>
        <w:pStyle w:val="ListParagraph"/>
        <w:rPr>
          <w:sz w:val="24"/>
          <w:szCs w:val="24"/>
        </w:rPr>
      </w:pPr>
      <w:r w:rsidRPr="00F5267B">
        <w:rPr>
          <w:sz w:val="24"/>
          <w:szCs w:val="24"/>
        </w:rPr>
        <w:t>2</w:t>
      </w:r>
      <w:r w:rsidR="00A55A19" w:rsidRPr="00F5267B">
        <w:rPr>
          <w:sz w:val="24"/>
          <w:szCs w:val="24"/>
        </w:rPr>
        <w:t>6</w:t>
      </w:r>
      <w:r w:rsidRPr="00F5267B">
        <w:rPr>
          <w:sz w:val="24"/>
          <w:szCs w:val="24"/>
        </w:rPr>
        <w:t xml:space="preserve"> columns</w:t>
      </w:r>
      <w:r w:rsidR="00F5267B">
        <w:rPr>
          <w:sz w:val="24"/>
          <w:szCs w:val="24"/>
        </w:rPr>
        <w:t xml:space="preserve">, </w:t>
      </w:r>
      <w:r w:rsidRPr="00F5267B">
        <w:rPr>
          <w:sz w:val="24"/>
          <w:szCs w:val="24"/>
        </w:rPr>
        <w:t>224 rows</w:t>
      </w:r>
    </w:p>
    <w:p w14:paraId="303F8B15" w14:textId="2F317D1A" w:rsidR="003210E7" w:rsidRPr="00180EBB" w:rsidRDefault="003210E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608"/>
        <w:gridCol w:w="759"/>
        <w:gridCol w:w="4913"/>
      </w:tblGrid>
      <w:tr w:rsidR="007E1D6B" w:rsidRPr="00C54474" w14:paraId="014D7309" w14:textId="77777777" w:rsidTr="00C54474">
        <w:tc>
          <w:tcPr>
            <w:tcW w:w="2739" w:type="dxa"/>
          </w:tcPr>
          <w:p w14:paraId="715488C6" w14:textId="016FCB38" w:rsidR="007E1D6B" w:rsidRPr="00C54474" w:rsidRDefault="007E1D6B" w:rsidP="00A55A19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Field</w:t>
            </w:r>
          </w:p>
        </w:tc>
        <w:tc>
          <w:tcPr>
            <w:tcW w:w="608" w:type="dxa"/>
          </w:tcPr>
          <w:p w14:paraId="531013C2" w14:textId="5C3143A2" w:rsidR="007E1D6B" w:rsidRPr="00C54474" w:rsidRDefault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unit</w:t>
            </w:r>
          </w:p>
        </w:tc>
        <w:tc>
          <w:tcPr>
            <w:tcW w:w="759" w:type="dxa"/>
          </w:tcPr>
          <w:p w14:paraId="2AD2CED2" w14:textId="1536491F" w:rsidR="007E1D6B" w:rsidRPr="00C54474" w:rsidRDefault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type</w:t>
            </w:r>
          </w:p>
        </w:tc>
        <w:tc>
          <w:tcPr>
            <w:tcW w:w="4913" w:type="dxa"/>
          </w:tcPr>
          <w:p w14:paraId="745523DB" w14:textId="49468658" w:rsidR="007E1D6B" w:rsidRPr="00C54474" w:rsidRDefault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meaning</w:t>
            </w:r>
          </w:p>
        </w:tc>
      </w:tr>
      <w:tr w:rsidR="007E1D6B" w:rsidRPr="00C54474" w14:paraId="2016D1A5" w14:textId="77777777" w:rsidTr="00C54474">
        <w:tc>
          <w:tcPr>
            <w:tcW w:w="2739" w:type="dxa"/>
          </w:tcPr>
          <w:p w14:paraId="163A642A" w14:textId="2FA6DCDF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Name                            </w:t>
            </w:r>
          </w:p>
        </w:tc>
        <w:tc>
          <w:tcPr>
            <w:tcW w:w="608" w:type="dxa"/>
          </w:tcPr>
          <w:p w14:paraId="59214FE3" w14:textId="747D5D90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759" w:type="dxa"/>
          </w:tcPr>
          <w:p w14:paraId="6E028CE1" w14:textId="73CF3D5A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object</w:t>
            </w:r>
          </w:p>
        </w:tc>
        <w:tc>
          <w:tcPr>
            <w:tcW w:w="4913" w:type="dxa"/>
          </w:tcPr>
          <w:p w14:paraId="72E396A3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52677628" w14:textId="77777777" w:rsidTr="00C54474">
        <w:tc>
          <w:tcPr>
            <w:tcW w:w="2739" w:type="dxa"/>
          </w:tcPr>
          <w:p w14:paraId="2675661C" w14:textId="140219DD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Type                            </w:t>
            </w:r>
          </w:p>
        </w:tc>
        <w:tc>
          <w:tcPr>
            <w:tcW w:w="608" w:type="dxa"/>
          </w:tcPr>
          <w:p w14:paraId="00DAF85F" w14:textId="087B5B7F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759" w:type="dxa"/>
          </w:tcPr>
          <w:p w14:paraId="6B7710D4" w14:textId="70718CDE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object</w:t>
            </w:r>
          </w:p>
        </w:tc>
        <w:tc>
          <w:tcPr>
            <w:tcW w:w="4913" w:type="dxa"/>
          </w:tcPr>
          <w:p w14:paraId="51CD7752" w14:textId="5AFC05F8" w:rsidR="007E1D6B" w:rsidRPr="00C54474" w:rsidRDefault="007E1D6B" w:rsidP="007E1D6B">
            <w:pPr>
              <w:rPr>
                <w:sz w:val="16"/>
                <w:szCs w:val="16"/>
              </w:rPr>
            </w:pPr>
            <w:proofErr w:type="spellStart"/>
            <w:r w:rsidRPr="00C54474">
              <w:rPr>
                <w:sz w:val="16"/>
                <w:szCs w:val="16"/>
                <w:highlight w:val="white"/>
              </w:rPr>
              <w:t>eg.</w:t>
            </w:r>
            <w:proofErr w:type="spellEnd"/>
            <w:r w:rsidRPr="00C54474">
              <w:rPr>
                <w:sz w:val="16"/>
                <w:szCs w:val="16"/>
                <w:highlight w:val="white"/>
              </w:rPr>
              <w:t xml:space="preserve"> Engineering, State</w:t>
            </w:r>
          </w:p>
        </w:tc>
      </w:tr>
      <w:tr w:rsidR="007E1D6B" w:rsidRPr="00C54474" w14:paraId="1068DCAE" w14:textId="77777777" w:rsidTr="00C54474">
        <w:tc>
          <w:tcPr>
            <w:tcW w:w="2739" w:type="dxa"/>
          </w:tcPr>
          <w:p w14:paraId="662CAF8D" w14:textId="359AF051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str_50_type                    </w:t>
            </w:r>
          </w:p>
        </w:tc>
        <w:tc>
          <w:tcPr>
            <w:tcW w:w="608" w:type="dxa"/>
            <w:vMerge w:val="restart"/>
          </w:tcPr>
          <w:p w14:paraId="63119CF1" w14:textId="77777777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</w:p>
          <w:p w14:paraId="6FCB0B43" w14:textId="77777777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</w:p>
          <w:p w14:paraId="3E4AE4E7" w14:textId="77777777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</w:p>
          <w:p w14:paraId="584CAAF7" w14:textId="77777777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</w:p>
          <w:p w14:paraId="5B5797F3" w14:textId="23B972D0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  <w:r w:rsidRPr="00C54474">
              <w:rPr>
                <w:sz w:val="16"/>
                <w:szCs w:val="16"/>
                <w:lang w:val="en-US"/>
              </w:rPr>
              <w:t>dollar</w:t>
            </w:r>
          </w:p>
        </w:tc>
        <w:tc>
          <w:tcPr>
            <w:tcW w:w="759" w:type="dxa"/>
          </w:tcPr>
          <w:p w14:paraId="4A6D3C6A" w14:textId="31C293E9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</w:tcPr>
          <w:p w14:paraId="5BB38101" w14:textId="2685070D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  <w:highlight w:val="white"/>
              </w:rPr>
              <w:t>the median salary at the beginning of the career</w:t>
            </w:r>
          </w:p>
        </w:tc>
      </w:tr>
      <w:tr w:rsidR="007E1D6B" w:rsidRPr="00C54474" w14:paraId="236F19CD" w14:textId="77777777" w:rsidTr="00C54474">
        <w:tc>
          <w:tcPr>
            <w:tcW w:w="2739" w:type="dxa"/>
          </w:tcPr>
          <w:p w14:paraId="21E6C678" w14:textId="4809A8BB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mid_50_type                    </w:t>
            </w:r>
          </w:p>
        </w:tc>
        <w:tc>
          <w:tcPr>
            <w:tcW w:w="608" w:type="dxa"/>
            <w:vMerge/>
          </w:tcPr>
          <w:p w14:paraId="2D58B978" w14:textId="6CEA8F2A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3FCFFC32" w14:textId="10B116E2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 w:val="restart"/>
          </w:tcPr>
          <w:p w14:paraId="534619B1" w14:textId="6C8826C1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Different percentile of the median salary at the middle career</w:t>
            </w:r>
          </w:p>
          <w:p w14:paraId="290AEE92" w14:textId="120BF4C0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  <w:r w:rsidRPr="00C54474">
              <w:rPr>
                <w:sz w:val="16"/>
                <w:szCs w:val="16"/>
              </w:rPr>
              <w:t>(low-high) by school type</w:t>
            </w:r>
          </w:p>
        </w:tc>
      </w:tr>
      <w:tr w:rsidR="007E1D6B" w:rsidRPr="00C54474" w14:paraId="00603BE3" w14:textId="77777777" w:rsidTr="00C54474">
        <w:tc>
          <w:tcPr>
            <w:tcW w:w="2739" w:type="dxa"/>
          </w:tcPr>
          <w:p w14:paraId="783DA13D" w14:textId="6E328192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mid_10_type                    </w:t>
            </w:r>
          </w:p>
        </w:tc>
        <w:tc>
          <w:tcPr>
            <w:tcW w:w="608" w:type="dxa"/>
            <w:vMerge/>
          </w:tcPr>
          <w:p w14:paraId="6F5FA435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432B799E" w14:textId="74C78948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75E57FAE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109ECB21" w14:textId="77777777" w:rsidTr="00C54474">
        <w:tc>
          <w:tcPr>
            <w:tcW w:w="2739" w:type="dxa"/>
          </w:tcPr>
          <w:p w14:paraId="06E628BE" w14:textId="0F00F689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mid_25_type                    </w:t>
            </w:r>
          </w:p>
        </w:tc>
        <w:tc>
          <w:tcPr>
            <w:tcW w:w="608" w:type="dxa"/>
            <w:vMerge/>
          </w:tcPr>
          <w:p w14:paraId="46B5BA1F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44B208D9" w14:textId="25EA7D4E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7D0A5654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052D66B2" w14:textId="77777777" w:rsidTr="00C54474">
        <w:tc>
          <w:tcPr>
            <w:tcW w:w="2739" w:type="dxa"/>
          </w:tcPr>
          <w:p w14:paraId="36E37925" w14:textId="361AE531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mid_75_type                    </w:t>
            </w:r>
          </w:p>
        </w:tc>
        <w:tc>
          <w:tcPr>
            <w:tcW w:w="608" w:type="dxa"/>
            <w:vMerge/>
          </w:tcPr>
          <w:p w14:paraId="4FAB5735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7B3D7321" w14:textId="2FD5CD6A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7F76A1E2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57C36C5E" w14:textId="77777777" w:rsidTr="00C54474">
        <w:tc>
          <w:tcPr>
            <w:tcW w:w="2739" w:type="dxa"/>
          </w:tcPr>
          <w:p w14:paraId="39C97D6D" w14:textId="22A1B3C1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mid_90_type                    </w:t>
            </w:r>
          </w:p>
        </w:tc>
        <w:tc>
          <w:tcPr>
            <w:tcW w:w="608" w:type="dxa"/>
            <w:vMerge/>
          </w:tcPr>
          <w:p w14:paraId="01DD925F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2C44FCD6" w14:textId="38361833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6DA46BAB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29022C09" w14:textId="77777777" w:rsidTr="00C54474">
        <w:tc>
          <w:tcPr>
            <w:tcW w:w="2739" w:type="dxa"/>
          </w:tcPr>
          <w:p w14:paraId="7F2125B1" w14:textId="43CEB55E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Region                          </w:t>
            </w:r>
          </w:p>
        </w:tc>
        <w:tc>
          <w:tcPr>
            <w:tcW w:w="608" w:type="dxa"/>
          </w:tcPr>
          <w:p w14:paraId="35AFE572" w14:textId="1C765F85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759" w:type="dxa"/>
          </w:tcPr>
          <w:p w14:paraId="380220DA" w14:textId="4F36257F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object</w:t>
            </w:r>
          </w:p>
        </w:tc>
        <w:tc>
          <w:tcPr>
            <w:tcW w:w="4913" w:type="dxa"/>
          </w:tcPr>
          <w:p w14:paraId="44B32E40" w14:textId="77777777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</w:p>
        </w:tc>
      </w:tr>
      <w:tr w:rsidR="007E1D6B" w:rsidRPr="00C54474" w14:paraId="7C0E4932" w14:textId="77777777" w:rsidTr="00C54474">
        <w:tc>
          <w:tcPr>
            <w:tcW w:w="2739" w:type="dxa"/>
          </w:tcPr>
          <w:p w14:paraId="5360267E" w14:textId="4EED36F5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str_50_region             </w:t>
            </w:r>
          </w:p>
        </w:tc>
        <w:tc>
          <w:tcPr>
            <w:tcW w:w="608" w:type="dxa"/>
            <w:vMerge w:val="restart"/>
          </w:tcPr>
          <w:p w14:paraId="353B788F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  <w:p w14:paraId="49666F10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  <w:p w14:paraId="44980BC8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  <w:p w14:paraId="2AB185B8" w14:textId="477C9333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dollar</w:t>
            </w:r>
          </w:p>
        </w:tc>
        <w:tc>
          <w:tcPr>
            <w:tcW w:w="759" w:type="dxa"/>
          </w:tcPr>
          <w:p w14:paraId="7763A46E" w14:textId="537154EF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</w:tcPr>
          <w:p w14:paraId="770B77B6" w14:textId="77777777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First 50% value of the median salary at the beginning of the career</w:t>
            </w:r>
          </w:p>
          <w:p w14:paraId="44A7FFD4" w14:textId="3579C636" w:rsidR="007E1D6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(low-high) by region</w:t>
            </w:r>
          </w:p>
        </w:tc>
      </w:tr>
      <w:tr w:rsidR="007E1D6B" w:rsidRPr="00C54474" w14:paraId="43EB5D95" w14:textId="77777777" w:rsidTr="00C54474">
        <w:tc>
          <w:tcPr>
            <w:tcW w:w="2739" w:type="dxa"/>
          </w:tcPr>
          <w:p w14:paraId="4B1AF38E" w14:textId="143B58EA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mid_50_region                  </w:t>
            </w:r>
          </w:p>
        </w:tc>
        <w:tc>
          <w:tcPr>
            <w:tcW w:w="608" w:type="dxa"/>
            <w:vMerge/>
          </w:tcPr>
          <w:p w14:paraId="63FE7A1B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349F50C0" w14:textId="3DD42692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 w:val="restart"/>
          </w:tcPr>
          <w:p w14:paraId="6BF37D4F" w14:textId="77777777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Different percentile of the median salary at the middle career</w:t>
            </w:r>
          </w:p>
          <w:p w14:paraId="5EE9A1A7" w14:textId="6CADFA82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(low-high) by region</w:t>
            </w:r>
          </w:p>
        </w:tc>
      </w:tr>
      <w:tr w:rsidR="007E1D6B" w:rsidRPr="00C54474" w14:paraId="6FAF4143" w14:textId="77777777" w:rsidTr="00C54474">
        <w:tc>
          <w:tcPr>
            <w:tcW w:w="2739" w:type="dxa"/>
          </w:tcPr>
          <w:p w14:paraId="3771F5C5" w14:textId="7D2EFA90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mid_10_region                  </w:t>
            </w:r>
          </w:p>
        </w:tc>
        <w:tc>
          <w:tcPr>
            <w:tcW w:w="608" w:type="dxa"/>
            <w:vMerge/>
          </w:tcPr>
          <w:p w14:paraId="29EE5BD6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3845EF58" w14:textId="0ED88F66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6DFBCB32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46454B7A" w14:textId="77777777" w:rsidTr="00C54474">
        <w:tc>
          <w:tcPr>
            <w:tcW w:w="2739" w:type="dxa"/>
          </w:tcPr>
          <w:p w14:paraId="31678A2C" w14:textId="30B876FD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mid_25_region                  </w:t>
            </w:r>
          </w:p>
        </w:tc>
        <w:tc>
          <w:tcPr>
            <w:tcW w:w="608" w:type="dxa"/>
            <w:vMerge/>
          </w:tcPr>
          <w:p w14:paraId="6C2C83F0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02CE72BF" w14:textId="25020629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4514B3DF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2E8CA777" w14:textId="77777777" w:rsidTr="00C54474">
        <w:tc>
          <w:tcPr>
            <w:tcW w:w="2739" w:type="dxa"/>
          </w:tcPr>
          <w:p w14:paraId="6B6D7384" w14:textId="07A93528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mid_75_region                  </w:t>
            </w:r>
          </w:p>
        </w:tc>
        <w:tc>
          <w:tcPr>
            <w:tcW w:w="608" w:type="dxa"/>
            <w:vMerge/>
          </w:tcPr>
          <w:p w14:paraId="60F573E1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436B725A" w14:textId="59B31F05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0C0ECAF4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5D24897B" w14:textId="77777777" w:rsidTr="00C54474">
        <w:tc>
          <w:tcPr>
            <w:tcW w:w="2739" w:type="dxa"/>
          </w:tcPr>
          <w:p w14:paraId="65015C3E" w14:textId="303E7D56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mid_90_region                  </w:t>
            </w:r>
          </w:p>
        </w:tc>
        <w:tc>
          <w:tcPr>
            <w:tcW w:w="608" w:type="dxa"/>
            <w:vMerge/>
          </w:tcPr>
          <w:p w14:paraId="003C9277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2ECB8DD6" w14:textId="47B9F1A3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520D23D5" w14:textId="77777777" w:rsidR="007E1D6B" w:rsidRPr="00C54474" w:rsidRDefault="007E1D6B" w:rsidP="007E1D6B">
            <w:pPr>
              <w:rPr>
                <w:sz w:val="16"/>
                <w:szCs w:val="16"/>
              </w:rPr>
            </w:pPr>
          </w:p>
        </w:tc>
      </w:tr>
      <w:tr w:rsidR="007E1D6B" w:rsidRPr="00C54474" w14:paraId="1823373D" w14:textId="77777777" w:rsidTr="00C54474">
        <w:tc>
          <w:tcPr>
            <w:tcW w:w="2739" w:type="dxa"/>
          </w:tcPr>
          <w:p w14:paraId="5DBB0B20" w14:textId="6C6C41A7" w:rsidR="007E1D6B" w:rsidRPr="00C54474" w:rsidRDefault="007E1D6B" w:rsidP="007E1D6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Major                         </w:t>
            </w:r>
          </w:p>
        </w:tc>
        <w:tc>
          <w:tcPr>
            <w:tcW w:w="608" w:type="dxa"/>
          </w:tcPr>
          <w:p w14:paraId="6BA6A37D" w14:textId="40462AE7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\</w:t>
            </w:r>
          </w:p>
        </w:tc>
        <w:tc>
          <w:tcPr>
            <w:tcW w:w="759" w:type="dxa"/>
          </w:tcPr>
          <w:p w14:paraId="72DADC95" w14:textId="5FC49B2C" w:rsidR="007E1D6B" w:rsidRPr="00C54474" w:rsidRDefault="007E1D6B" w:rsidP="007E1D6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object</w:t>
            </w:r>
          </w:p>
        </w:tc>
        <w:tc>
          <w:tcPr>
            <w:tcW w:w="4913" w:type="dxa"/>
          </w:tcPr>
          <w:p w14:paraId="514D28CE" w14:textId="245F9AE9" w:rsidR="007E1D6B" w:rsidRPr="00C54474" w:rsidRDefault="007E1D6B" w:rsidP="007E1D6B">
            <w:pPr>
              <w:rPr>
                <w:sz w:val="16"/>
                <w:szCs w:val="16"/>
                <w:lang w:val="en-US"/>
              </w:rPr>
            </w:pPr>
          </w:p>
        </w:tc>
      </w:tr>
      <w:tr w:rsidR="00180EBB" w:rsidRPr="00C54474" w14:paraId="59BEF2F4" w14:textId="77777777" w:rsidTr="00C54474">
        <w:tc>
          <w:tcPr>
            <w:tcW w:w="2739" w:type="dxa"/>
          </w:tcPr>
          <w:p w14:paraId="1A0ACED1" w14:textId="0ACA5035" w:rsidR="00180EBB" w:rsidRPr="00C54474" w:rsidRDefault="00180EBB" w:rsidP="00180EB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str_50_major                   </w:t>
            </w:r>
          </w:p>
        </w:tc>
        <w:tc>
          <w:tcPr>
            <w:tcW w:w="608" w:type="dxa"/>
            <w:vMerge w:val="restart"/>
          </w:tcPr>
          <w:p w14:paraId="35A4DE94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  <w:p w14:paraId="10FB952E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  <w:p w14:paraId="1E96CF25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  <w:p w14:paraId="2BACEF7C" w14:textId="1A957238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dollar</w:t>
            </w:r>
          </w:p>
        </w:tc>
        <w:tc>
          <w:tcPr>
            <w:tcW w:w="759" w:type="dxa"/>
          </w:tcPr>
          <w:p w14:paraId="246C2D6F" w14:textId="7032112A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</w:tcPr>
          <w:p w14:paraId="438FACBA" w14:textId="0B20DE0C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First 50% value of the median salary at the beginning of the career</w:t>
            </w:r>
          </w:p>
          <w:p w14:paraId="6517B671" w14:textId="79E2394D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(low-high) by major</w:t>
            </w:r>
          </w:p>
        </w:tc>
      </w:tr>
      <w:tr w:rsidR="00180EBB" w:rsidRPr="00C54474" w14:paraId="7FEF3A04" w14:textId="77777777" w:rsidTr="00C54474">
        <w:tc>
          <w:tcPr>
            <w:tcW w:w="2739" w:type="dxa"/>
          </w:tcPr>
          <w:p w14:paraId="0D7B55AF" w14:textId="365F8DA9" w:rsidR="00180EBB" w:rsidRPr="00C54474" w:rsidRDefault="00180EBB" w:rsidP="00180EBB">
            <w:pPr>
              <w:pStyle w:val="HTMLPreformatted"/>
              <w:wordWrap w:val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mid_50_major                   </w:t>
            </w:r>
          </w:p>
        </w:tc>
        <w:tc>
          <w:tcPr>
            <w:tcW w:w="608" w:type="dxa"/>
            <w:vMerge/>
          </w:tcPr>
          <w:p w14:paraId="4F92C249" w14:textId="032E6B50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4C344EB3" w14:textId="707BED4A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 w:val="restart"/>
          </w:tcPr>
          <w:p w14:paraId="730324A4" w14:textId="22BE5786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Different percentile of the median salary at the middle career</w:t>
            </w:r>
          </w:p>
          <w:p w14:paraId="0DBBFD40" w14:textId="5AA19678" w:rsidR="00180EBB" w:rsidRPr="00C54474" w:rsidRDefault="00180EBB" w:rsidP="00180EBB">
            <w:pPr>
              <w:rPr>
                <w:sz w:val="16"/>
                <w:szCs w:val="16"/>
                <w:lang w:val="en-US"/>
              </w:rPr>
            </w:pPr>
            <w:r w:rsidRPr="00C54474">
              <w:rPr>
                <w:sz w:val="16"/>
                <w:szCs w:val="16"/>
              </w:rPr>
              <w:t>(low-high) by major</w:t>
            </w:r>
          </w:p>
        </w:tc>
      </w:tr>
      <w:tr w:rsidR="00180EBB" w:rsidRPr="00C54474" w14:paraId="1DDC273E" w14:textId="77777777" w:rsidTr="00C54474">
        <w:tc>
          <w:tcPr>
            <w:tcW w:w="2739" w:type="dxa"/>
          </w:tcPr>
          <w:p w14:paraId="0BE8F120" w14:textId="27876880" w:rsidR="00180EBB" w:rsidRPr="00C54474" w:rsidRDefault="00180EBB" w:rsidP="00180EB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mid_10_major                  </w:t>
            </w:r>
          </w:p>
        </w:tc>
        <w:tc>
          <w:tcPr>
            <w:tcW w:w="608" w:type="dxa"/>
            <w:vMerge/>
          </w:tcPr>
          <w:p w14:paraId="02771505" w14:textId="6551CA8D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2D6E23BB" w14:textId="07293B1C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755D7847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</w:tr>
      <w:tr w:rsidR="00180EBB" w:rsidRPr="00C54474" w14:paraId="7B3C0DBB" w14:textId="77777777" w:rsidTr="00C54474">
        <w:tc>
          <w:tcPr>
            <w:tcW w:w="2739" w:type="dxa"/>
          </w:tcPr>
          <w:p w14:paraId="21DA3B49" w14:textId="6D8A32A9" w:rsidR="00180EBB" w:rsidRPr="00C54474" w:rsidRDefault="00180EBB" w:rsidP="00180EB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mid_25                        </w:t>
            </w:r>
          </w:p>
        </w:tc>
        <w:tc>
          <w:tcPr>
            <w:tcW w:w="608" w:type="dxa"/>
            <w:vMerge/>
          </w:tcPr>
          <w:p w14:paraId="4C21171E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2C80AB32" w14:textId="391A2496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5F347A13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</w:tr>
      <w:tr w:rsidR="00180EBB" w:rsidRPr="00C54474" w14:paraId="7513DE27" w14:textId="77777777" w:rsidTr="00C54474">
        <w:tc>
          <w:tcPr>
            <w:tcW w:w="2739" w:type="dxa"/>
          </w:tcPr>
          <w:p w14:paraId="49E7AF2D" w14:textId="69C676ED" w:rsidR="00180EBB" w:rsidRPr="00C54474" w:rsidRDefault="00180EBB" w:rsidP="00180EBB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 xml:space="preserve">mid_75_major                   </w:t>
            </w:r>
          </w:p>
        </w:tc>
        <w:tc>
          <w:tcPr>
            <w:tcW w:w="608" w:type="dxa"/>
            <w:vMerge/>
          </w:tcPr>
          <w:p w14:paraId="58382F15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7E731B62" w14:textId="5A0382B8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20EE67E1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</w:tr>
      <w:tr w:rsidR="00180EBB" w:rsidRPr="00C54474" w14:paraId="5CC91DBF" w14:textId="77777777" w:rsidTr="00C54474">
        <w:tc>
          <w:tcPr>
            <w:tcW w:w="2739" w:type="dxa"/>
          </w:tcPr>
          <w:p w14:paraId="163E7FF2" w14:textId="7C061E73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 xml:space="preserve">mid_90_major                   </w:t>
            </w:r>
          </w:p>
        </w:tc>
        <w:tc>
          <w:tcPr>
            <w:tcW w:w="608" w:type="dxa"/>
            <w:vMerge/>
          </w:tcPr>
          <w:p w14:paraId="76BF3177" w14:textId="77777777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1FD9982B" w14:textId="710009A3" w:rsidR="00180EBB" w:rsidRPr="00C54474" w:rsidRDefault="00180EBB" w:rsidP="00180EBB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  <w:vMerge/>
          </w:tcPr>
          <w:p w14:paraId="79AF7FDC" w14:textId="1ED68A0D" w:rsidR="00180EBB" w:rsidRPr="00C54474" w:rsidRDefault="00180EBB" w:rsidP="00180EBB">
            <w:pPr>
              <w:rPr>
                <w:sz w:val="16"/>
                <w:szCs w:val="16"/>
              </w:rPr>
            </w:pPr>
          </w:p>
        </w:tc>
      </w:tr>
      <w:tr w:rsidR="00180EBB" w:rsidRPr="00C54474" w14:paraId="1DD2A881" w14:textId="77777777" w:rsidTr="00C54474">
        <w:tc>
          <w:tcPr>
            <w:tcW w:w="2739" w:type="dxa"/>
          </w:tcPr>
          <w:p w14:paraId="2E420879" w14:textId="77777777" w:rsidR="00180EBB" w:rsidRPr="00C54474" w:rsidRDefault="00180EBB" w:rsidP="009C0B8A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C54474">
              <w:rPr>
                <w:rFonts w:ascii="Arial" w:hAnsi="Arial" w:cs="Arial"/>
                <w:color w:val="000000"/>
                <w:sz w:val="16"/>
                <w:szCs w:val="16"/>
              </w:rPr>
              <w:t>percentage_str_to_mid_major</w:t>
            </w:r>
          </w:p>
        </w:tc>
        <w:tc>
          <w:tcPr>
            <w:tcW w:w="608" w:type="dxa"/>
          </w:tcPr>
          <w:p w14:paraId="364BE18D" w14:textId="77777777" w:rsidR="00180EBB" w:rsidRPr="00C54474" w:rsidRDefault="00180EBB" w:rsidP="009C0B8A">
            <w:pPr>
              <w:rPr>
                <w:sz w:val="16"/>
                <w:szCs w:val="16"/>
              </w:rPr>
            </w:pPr>
            <w:r w:rsidRPr="00C54474">
              <w:rPr>
                <w:sz w:val="16"/>
                <w:szCs w:val="16"/>
              </w:rPr>
              <w:t>%</w:t>
            </w:r>
          </w:p>
        </w:tc>
        <w:tc>
          <w:tcPr>
            <w:tcW w:w="759" w:type="dxa"/>
          </w:tcPr>
          <w:p w14:paraId="18189EAA" w14:textId="77777777" w:rsidR="00180EBB" w:rsidRPr="00C54474" w:rsidRDefault="00180EBB" w:rsidP="009C0B8A">
            <w:pPr>
              <w:rPr>
                <w:sz w:val="16"/>
                <w:szCs w:val="16"/>
              </w:rPr>
            </w:pPr>
            <w:r w:rsidRPr="00C54474">
              <w:rPr>
                <w:color w:val="000000"/>
                <w:sz w:val="16"/>
                <w:szCs w:val="16"/>
              </w:rPr>
              <w:t>float64</w:t>
            </w:r>
          </w:p>
        </w:tc>
        <w:tc>
          <w:tcPr>
            <w:tcW w:w="4913" w:type="dxa"/>
          </w:tcPr>
          <w:p w14:paraId="038B9B54" w14:textId="5C3DBAC1" w:rsidR="00180EBB" w:rsidRPr="00C54474" w:rsidRDefault="00180EBB" w:rsidP="009C0B8A">
            <w:pPr>
              <w:rPr>
                <w:sz w:val="16"/>
                <w:szCs w:val="16"/>
                <w:lang w:val="en-US"/>
              </w:rPr>
            </w:pPr>
            <w:r w:rsidRPr="00C54474">
              <w:rPr>
                <w:sz w:val="16"/>
                <w:szCs w:val="16"/>
                <w:lang w:val="en-US"/>
              </w:rPr>
              <w:t xml:space="preserve">growth rate from the beginning career to </w:t>
            </w:r>
            <w:proofErr w:type="spellStart"/>
            <w:r w:rsidRPr="00C54474">
              <w:rPr>
                <w:sz w:val="16"/>
                <w:szCs w:val="16"/>
                <w:lang w:val="en-US"/>
              </w:rPr>
              <w:t>mid career</w:t>
            </w:r>
            <w:proofErr w:type="spellEnd"/>
            <w:r w:rsidRPr="00C54474">
              <w:rPr>
                <w:sz w:val="16"/>
                <w:szCs w:val="16"/>
                <w:lang w:val="en-US"/>
              </w:rPr>
              <w:t xml:space="preserve"> by major</w:t>
            </w:r>
          </w:p>
        </w:tc>
      </w:tr>
    </w:tbl>
    <w:p w14:paraId="71A46824" w14:textId="77777777" w:rsidR="003210E7" w:rsidRPr="00C54474" w:rsidRDefault="003210E7">
      <w:pPr>
        <w:rPr>
          <w:b/>
          <w:sz w:val="16"/>
          <w:szCs w:val="16"/>
        </w:rPr>
      </w:pPr>
    </w:p>
    <w:p w14:paraId="4B3C202B" w14:textId="77777777" w:rsidR="003210E7" w:rsidRPr="00C54474" w:rsidRDefault="003210E7">
      <w:pPr>
        <w:rPr>
          <w:b/>
          <w:sz w:val="16"/>
          <w:szCs w:val="16"/>
          <w:lang w:val="en-US"/>
        </w:rPr>
      </w:pPr>
    </w:p>
    <w:p w14:paraId="5CAAF6FF" w14:textId="77777777" w:rsidR="003210E7" w:rsidRPr="00180EBB" w:rsidRDefault="003210E7">
      <w:pPr>
        <w:rPr>
          <w:b/>
          <w:sz w:val="16"/>
          <w:szCs w:val="16"/>
        </w:rPr>
      </w:pPr>
    </w:p>
    <w:p w14:paraId="25D28BA0" w14:textId="77777777" w:rsidR="003210E7" w:rsidRPr="00180EBB" w:rsidRDefault="003210E7">
      <w:pPr>
        <w:rPr>
          <w:b/>
          <w:sz w:val="16"/>
          <w:szCs w:val="16"/>
        </w:rPr>
      </w:pPr>
    </w:p>
    <w:p w14:paraId="19433DB0" w14:textId="77777777" w:rsidR="003210E7" w:rsidRPr="00180EBB" w:rsidRDefault="003210E7">
      <w:pPr>
        <w:rPr>
          <w:b/>
          <w:sz w:val="16"/>
          <w:szCs w:val="16"/>
        </w:rPr>
      </w:pPr>
    </w:p>
    <w:p w14:paraId="24C86A6C" w14:textId="5D13773C" w:rsidR="00C54474" w:rsidRDefault="00F5267B" w:rsidP="00C54474">
      <w:pPr>
        <w:pStyle w:val="Heading2"/>
        <w:spacing w:before="240" w:after="240"/>
        <w:ind w:left="360"/>
        <w:rPr>
          <w:color w:val="000000"/>
        </w:rPr>
      </w:pPr>
      <w:r>
        <w:rPr>
          <w:color w:val="000000"/>
        </w:rPr>
        <w:t xml:space="preserve">The </w:t>
      </w:r>
      <w:r w:rsidR="00C54474">
        <w:rPr>
          <w:color w:val="000000"/>
        </w:rPr>
        <w:t>rights associated with the data</w:t>
      </w:r>
    </w:p>
    <w:p w14:paraId="1F5D3880" w14:textId="564D50E7" w:rsidR="00C54474" w:rsidRDefault="00C54474" w:rsidP="00C54474"/>
    <w:p w14:paraId="4D408B9B" w14:textId="2A3C1A03" w:rsidR="00C54474" w:rsidRPr="00C54474" w:rsidRDefault="00C54474" w:rsidP="00C54474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owner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is </w:t>
      </w:r>
      <w:r w:rsidR="00F5267B">
        <w:rPr>
          <w:rFonts w:ascii="Arial" w:hAnsi="Arial" w:cs="Arial"/>
          <w:color w:val="000000"/>
          <w:sz w:val="22"/>
          <w:szCs w:val="22"/>
          <w:lang w:val="en-US"/>
        </w:rPr>
        <w:t>University of Sydney DATA1002 labR16A group4 (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Kanglu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Pei, Xu Jia,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Yuxuan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Xiao,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Songyin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Li</w:t>
      </w:r>
      <w:r w:rsidR="00F5267B">
        <w:rPr>
          <w:rFonts w:ascii="Arial" w:hAnsi="Arial" w:cs="Arial"/>
          <w:color w:val="000000"/>
          <w:sz w:val="22"/>
          <w:szCs w:val="22"/>
          <w:lang w:val="en-US"/>
        </w:rPr>
        <w:t>).</w:t>
      </w:r>
    </w:p>
    <w:p w14:paraId="4070AFBC" w14:textId="13288B60" w:rsidR="0016207F" w:rsidRDefault="00C54474" w:rsidP="00C5447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The license of t</w:t>
      </w:r>
      <w:proofErr w:type="spellStart"/>
      <w:r w:rsidR="00644D57">
        <w:rPr>
          <w:rFonts w:ascii="Arial" w:hAnsi="Arial" w:cs="Arial"/>
          <w:color w:val="000000"/>
          <w:sz w:val="22"/>
          <w:szCs w:val="22"/>
          <w:lang w:val="en-US"/>
        </w:rPr>
        <w:t>hese</w:t>
      </w:r>
      <w:proofErr w:type="spellEnd"/>
      <w:r w:rsidR="00644D57">
        <w:rPr>
          <w:rFonts w:ascii="Arial" w:hAnsi="Arial" w:cs="Arial"/>
          <w:color w:val="000000"/>
          <w:sz w:val="22"/>
          <w:szCs w:val="22"/>
          <w:lang w:val="en-US"/>
        </w:rPr>
        <w:t xml:space="preserve"> four </w:t>
      </w:r>
      <w:r>
        <w:rPr>
          <w:rFonts w:ascii="Arial" w:hAnsi="Arial" w:cs="Arial"/>
          <w:color w:val="000000"/>
          <w:sz w:val="22"/>
          <w:szCs w:val="22"/>
        </w:rPr>
        <w:t>dataset</w:t>
      </w:r>
      <w:r w:rsidR="00644D57">
        <w:rPr>
          <w:rFonts w:ascii="Arial" w:hAnsi="Arial" w:cs="Arial"/>
          <w:color w:val="000000"/>
          <w:sz w:val="22"/>
          <w:szCs w:val="22"/>
          <w:lang w:val="en-US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is CC0, public domain, with the visibility of the public, where states explicitly that there is no copyright and thereby anyone can copy, modify, distribute and perform the work without asking permission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28C81556" w14:textId="6273E612" w:rsidR="0016207F" w:rsidRDefault="00F5267B" w:rsidP="0016207F"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These datasets were cleaned and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summarised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644D57">
        <w:rPr>
          <w:rFonts w:ascii="Arial" w:hAnsi="Arial" w:cs="Arial"/>
          <w:color w:val="000000"/>
          <w:sz w:val="22"/>
          <w:szCs w:val="22"/>
          <w:lang w:val="en-US"/>
        </w:rPr>
        <w:t xml:space="preserve">by group4 members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r w:rsidR="0016207F">
        <w:rPr>
          <w:rFonts w:ascii="Arial" w:hAnsi="Arial" w:cs="Arial"/>
          <w:color w:val="000000"/>
          <w:sz w:val="22"/>
          <w:szCs w:val="22"/>
          <w:lang w:val="en-US"/>
        </w:rPr>
        <w:t>the original datasets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7"/>
        <w:gridCol w:w="2684"/>
        <w:gridCol w:w="2928"/>
      </w:tblGrid>
      <w:tr w:rsidR="0016207F" w14:paraId="139F40D4" w14:textId="57185EFF" w:rsidTr="00644D57">
        <w:tc>
          <w:tcPr>
            <w:tcW w:w="3407" w:type="dxa"/>
          </w:tcPr>
          <w:p w14:paraId="7D991BF2" w14:textId="3C369961" w:rsidR="0016207F" w:rsidRDefault="0016207F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filename</w:t>
            </w:r>
          </w:p>
        </w:tc>
        <w:tc>
          <w:tcPr>
            <w:tcW w:w="2684" w:type="dxa"/>
          </w:tcPr>
          <w:p w14:paraId="75D1FB36" w14:textId="1E76B854" w:rsidR="0016207F" w:rsidRDefault="0016207F" w:rsidP="0016207F">
            <w:pPr>
              <w:rPr>
                <w:color w:val="000000"/>
              </w:rPr>
            </w:pPr>
            <w:r>
              <w:rPr>
                <w:color w:val="000000"/>
              </w:rPr>
              <w:t>Source /data owner</w:t>
            </w:r>
          </w:p>
        </w:tc>
        <w:tc>
          <w:tcPr>
            <w:tcW w:w="2928" w:type="dxa"/>
          </w:tcPr>
          <w:p w14:paraId="5D015173" w14:textId="2669A639" w:rsidR="0016207F" w:rsidRDefault="0016207F" w:rsidP="0016207F">
            <w:pPr>
              <w:rPr>
                <w:color w:val="000000"/>
              </w:rPr>
            </w:pPr>
            <w:r>
              <w:rPr>
                <w:color w:val="000000"/>
              </w:rPr>
              <w:t>License &amp; applicable policy</w:t>
            </w:r>
          </w:p>
        </w:tc>
      </w:tr>
      <w:tr w:rsidR="00644D57" w14:paraId="398F6B37" w14:textId="169E8970" w:rsidTr="00644D57">
        <w:tc>
          <w:tcPr>
            <w:tcW w:w="3407" w:type="dxa"/>
          </w:tcPr>
          <w:p w14:paraId="365A3DE2" w14:textId="61B1974D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adult.csv</w:t>
            </w:r>
          </w:p>
        </w:tc>
        <w:tc>
          <w:tcPr>
            <w:tcW w:w="2684" w:type="dxa"/>
          </w:tcPr>
          <w:p w14:paraId="3F04E344" w14:textId="0373B091" w:rsidR="00644D57" w:rsidRPr="0016207F" w:rsidRDefault="00644D57" w:rsidP="0016207F">
            <w:r>
              <w:rPr>
                <w:color w:val="000000"/>
              </w:rPr>
              <w:t>University College London</w:t>
            </w:r>
          </w:p>
        </w:tc>
        <w:tc>
          <w:tcPr>
            <w:tcW w:w="2928" w:type="dxa"/>
            <w:vMerge w:val="restart"/>
          </w:tcPr>
          <w:p w14:paraId="5B0B4D4D" w14:textId="4FC2C67C" w:rsidR="00644D57" w:rsidRDefault="00644D57" w:rsidP="0016207F">
            <w:pPr>
              <w:rPr>
                <w:color w:val="000000"/>
              </w:rPr>
            </w:pPr>
            <w:r>
              <w:rPr>
                <w:color w:val="000000"/>
              </w:rPr>
              <w:t>CC0, public domain, with the visibility of the public, where states explicitly that there is no copyright and thereby anyone can copy, modify, distribute and perform the work without asking permission</w:t>
            </w:r>
          </w:p>
        </w:tc>
      </w:tr>
      <w:tr w:rsidR="00644D57" w14:paraId="05EAFEE5" w14:textId="5BA164FA" w:rsidTr="00644D57">
        <w:tc>
          <w:tcPr>
            <w:tcW w:w="3407" w:type="dxa"/>
          </w:tcPr>
          <w:p w14:paraId="4E10E9B5" w14:textId="298CE3FE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6207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EAG_EARNINGS.csv</w:t>
            </w:r>
          </w:p>
        </w:tc>
        <w:tc>
          <w:tcPr>
            <w:tcW w:w="2684" w:type="dxa"/>
            <w:vMerge w:val="restart"/>
          </w:tcPr>
          <w:p w14:paraId="79E29E97" w14:textId="001613C1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OECD.Stat</w:t>
            </w:r>
          </w:p>
        </w:tc>
        <w:tc>
          <w:tcPr>
            <w:tcW w:w="2928" w:type="dxa"/>
            <w:vMerge/>
          </w:tcPr>
          <w:p w14:paraId="59ABBB23" w14:textId="7777777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644D57" w14:paraId="0BB3C494" w14:textId="2C371245" w:rsidTr="00644D57">
        <w:tc>
          <w:tcPr>
            <w:tcW w:w="3407" w:type="dxa"/>
          </w:tcPr>
          <w:p w14:paraId="23414A5F" w14:textId="1D1347CA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6207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EAG_GRAD_ENTR_RATES.csv</w:t>
            </w:r>
          </w:p>
        </w:tc>
        <w:tc>
          <w:tcPr>
            <w:tcW w:w="2684" w:type="dxa"/>
            <w:vMerge/>
          </w:tcPr>
          <w:p w14:paraId="1ACED450" w14:textId="65696699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28" w:type="dxa"/>
            <w:vMerge/>
          </w:tcPr>
          <w:p w14:paraId="57C4B1C3" w14:textId="7777777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644D57" w14:paraId="7D449DAF" w14:textId="2FE477BB" w:rsidTr="00644D57">
        <w:tc>
          <w:tcPr>
            <w:tcW w:w="3407" w:type="dxa"/>
          </w:tcPr>
          <w:p w14:paraId="0A890822" w14:textId="1791E4A2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6207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degrees-that-pay-back.csv</w:t>
            </w:r>
          </w:p>
        </w:tc>
        <w:tc>
          <w:tcPr>
            <w:tcW w:w="2684" w:type="dxa"/>
            <w:vMerge w:val="restart"/>
          </w:tcPr>
          <w:p w14:paraId="4609B3D4" w14:textId="15EE74B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Wall Street Journal</w:t>
            </w:r>
          </w:p>
        </w:tc>
        <w:tc>
          <w:tcPr>
            <w:tcW w:w="2928" w:type="dxa"/>
            <w:vMerge/>
          </w:tcPr>
          <w:p w14:paraId="6AD21E5E" w14:textId="7777777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644D57" w14:paraId="7A1D4AA5" w14:textId="19E3E966" w:rsidTr="00644D57">
        <w:tc>
          <w:tcPr>
            <w:tcW w:w="3407" w:type="dxa"/>
          </w:tcPr>
          <w:p w14:paraId="4C624254" w14:textId="1451B31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6207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salaries-by-college-type.csv</w:t>
            </w:r>
          </w:p>
        </w:tc>
        <w:tc>
          <w:tcPr>
            <w:tcW w:w="2684" w:type="dxa"/>
            <w:vMerge/>
          </w:tcPr>
          <w:p w14:paraId="70975ED0" w14:textId="7898B89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28" w:type="dxa"/>
            <w:vMerge/>
          </w:tcPr>
          <w:p w14:paraId="577D9B3C" w14:textId="7777777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644D57" w14:paraId="7BDE1108" w14:textId="08B93AF2" w:rsidTr="00644D57">
        <w:tc>
          <w:tcPr>
            <w:tcW w:w="3407" w:type="dxa"/>
          </w:tcPr>
          <w:p w14:paraId="50C58A29" w14:textId="3C266E2C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6207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salaries-by-region.csv</w:t>
            </w:r>
          </w:p>
        </w:tc>
        <w:tc>
          <w:tcPr>
            <w:tcW w:w="2684" w:type="dxa"/>
            <w:vMerge/>
          </w:tcPr>
          <w:p w14:paraId="4552283A" w14:textId="0108FF2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28" w:type="dxa"/>
            <w:vMerge/>
          </w:tcPr>
          <w:p w14:paraId="451709D7" w14:textId="77777777" w:rsidR="00644D57" w:rsidRDefault="00644D57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6207F" w14:paraId="6FE3ACF3" w14:textId="1FE1523A" w:rsidTr="00644D57">
        <w:tc>
          <w:tcPr>
            <w:tcW w:w="3407" w:type="dxa"/>
          </w:tcPr>
          <w:p w14:paraId="1140698D" w14:textId="7C423BAE" w:rsidR="0016207F" w:rsidRDefault="0016207F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6207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HR-Employee-Attrition</w:t>
            </w:r>
          </w:p>
        </w:tc>
        <w:tc>
          <w:tcPr>
            <w:tcW w:w="2684" w:type="dxa"/>
          </w:tcPr>
          <w:p w14:paraId="6F1E139F" w14:textId="748431F2" w:rsidR="0016207F" w:rsidRDefault="0016207F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Pavansubhash</w:t>
            </w:r>
          </w:p>
        </w:tc>
        <w:tc>
          <w:tcPr>
            <w:tcW w:w="2928" w:type="dxa"/>
          </w:tcPr>
          <w:p w14:paraId="221C3BBC" w14:textId="6B9EA4B5" w:rsidR="0016207F" w:rsidRPr="0016207F" w:rsidRDefault="0016207F" w:rsidP="0016207F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OdbL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open dataset and no limitation to be applied</w:t>
            </w:r>
          </w:p>
        </w:tc>
      </w:tr>
    </w:tbl>
    <w:p w14:paraId="179FD2AF" w14:textId="77777777" w:rsidR="003210E7" w:rsidRPr="00180EBB" w:rsidRDefault="003210E7">
      <w:pPr>
        <w:rPr>
          <w:sz w:val="13"/>
          <w:szCs w:val="13"/>
        </w:rPr>
      </w:pPr>
    </w:p>
    <w:sectPr w:rsidR="003210E7" w:rsidRPr="00180E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7A6A"/>
    <w:multiLevelType w:val="multilevel"/>
    <w:tmpl w:val="33FE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0020E"/>
    <w:multiLevelType w:val="hybridMultilevel"/>
    <w:tmpl w:val="D9DC7DF0"/>
    <w:lvl w:ilvl="0" w:tplc="89C4C4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010A"/>
    <w:multiLevelType w:val="multilevel"/>
    <w:tmpl w:val="FC6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34C63"/>
    <w:multiLevelType w:val="multilevel"/>
    <w:tmpl w:val="563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E279C"/>
    <w:multiLevelType w:val="hybridMultilevel"/>
    <w:tmpl w:val="D638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04651"/>
    <w:multiLevelType w:val="multilevel"/>
    <w:tmpl w:val="B3A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82E58"/>
    <w:multiLevelType w:val="hybridMultilevel"/>
    <w:tmpl w:val="5AB65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E7"/>
    <w:rsid w:val="0016207F"/>
    <w:rsid w:val="00172CC3"/>
    <w:rsid w:val="00180EBB"/>
    <w:rsid w:val="003210E7"/>
    <w:rsid w:val="00513287"/>
    <w:rsid w:val="00644D57"/>
    <w:rsid w:val="00644F3A"/>
    <w:rsid w:val="007E1D6B"/>
    <w:rsid w:val="009D259B"/>
    <w:rsid w:val="00A55A19"/>
    <w:rsid w:val="00AE27BD"/>
    <w:rsid w:val="00C54474"/>
    <w:rsid w:val="00F5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8B788"/>
  <w15:docId w15:val="{A820E04C-627F-8948-94AC-8A3D5F28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55A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55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A19"/>
    <w:rPr>
      <w:rFonts w:ascii="Courier New" w:eastAsia="Times New Roman" w:hAnsi="Courier New" w:cs="Courier New"/>
      <w:sz w:val="20"/>
      <w:szCs w:val="20"/>
      <w:lang w:val="en-CN"/>
    </w:rPr>
  </w:style>
  <w:style w:type="paragraph" w:styleId="ListParagraph">
    <w:name w:val="List Paragraph"/>
    <w:basedOn w:val="Normal"/>
    <w:uiPriority w:val="34"/>
    <w:qFormat/>
    <w:rsid w:val="00AE27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Kanglu Pei</cp:lastModifiedBy>
  <cp:revision>3</cp:revision>
  <dcterms:created xsi:type="dcterms:W3CDTF">2020-10-25T03:23:00Z</dcterms:created>
  <dcterms:modified xsi:type="dcterms:W3CDTF">2020-10-25T07:54:00Z</dcterms:modified>
</cp:coreProperties>
</file>