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F1E5B"/>
          <w:sz w:val="52"/>
          <w:szCs w:val="52"/>
        </w:rPr>
        <w:t xml:space="preserve">AEM as a Cloud Service Migration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D52B1E"/>
          <w:sz w:val="36"/>
          <w:szCs w:val="36"/>
        </w:rPr>
        <w:t xml:space="preserve">Site Scope &amp; Effort Assessment</w:t>
      </w:r>
    </w:p>
    <w:p>
      <w:pPr>
        <w:spacing w:after="80" w:before="240"/>
        <w:jc w:val="center"/>
      </w:pPr>
      <w:r>
        <w:rPr>
          <w:rFonts w:ascii="Calibri" w:cs="Calibri" w:eastAsia="Calibri" w:hAnsi="Calibri"/>
          <w:color w:val="5A6472"/>
          <w:sz w:val="30"/>
          <w:szCs w:val="30"/>
        </w:rPr>
        <w:t xml:space="preserve">www.botoxone.com</w:t>
      </w:r>
    </w:p>
    <w:p>
      <w:pPr>
        <w:spacing w:before="600"/>
        <w:jc w:val="center"/>
      </w:pPr>
      <w:r>
        <w:rPr>
          <w:rFonts w:ascii="Calibri" w:cs="Calibri" w:eastAsia="Calibri" w:hAnsi="Calibri"/>
          <w:i/>
          <w:iCs/>
          <w:color w:val="5A6472"/>
          <w:sz w:val="20"/>
          <w:szCs w:val="20"/>
        </w:rPr>
        <w:t xml:space="preserve">Target Platform: AEM as a Cloud Service (Edge Delivery Services) with ALM integration</w:t>
      </w:r>
    </w:p>
    <w:p>
      <w:pPr>
        <w:spacing w:before="120"/>
        <w:jc w:val="center"/>
      </w:pPr>
      <w:r>
        <w:rPr>
          <w:rFonts w:ascii="Calibri" w:cs="Calibri" w:eastAsia="Calibri" w:hAnsi="Calibri"/>
          <w:color w:val="5A6472"/>
          <w:sz w:val="20"/>
          <w:szCs w:val="20"/>
        </w:rPr>
        <w:t xml:space="preserve">Analysis Date: 2026-06-12</w:t>
      </w:r>
    </w:p>
    <w:p>
      <w:pPr>
        <w:spacing w:before="120"/>
        <w:jc w:val="center"/>
      </w:pPr>
      <w:r>
        <w:rPr>
          <w:rFonts w:ascii="Calibri" w:cs="Calibri" w:eastAsia="Calibri" w:hAnsi="Calibri"/>
          <w:color w:val="5A6472"/>
          <w:sz w:val="18"/>
          <w:szCs w:val="18"/>
        </w:rPr>
        <w:t xml:space="preserve">Report Status: Site catalog complete — 117 of 139 sitemap URLs analyzed (84%)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1E5B"/>
          <w:sz w:val="30"/>
          <w:szCs w:val="30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1E5B"/>
          <w:sz w:val="30"/>
          <w:szCs w:val="30"/>
        </w:rPr>
        <w:t xml:space="preserve">Executive Summary</w:t>
      </w:r>
    </w:p>
    <w:p>
      <w:pPr>
        <w:spacing w:after="120"/>
      </w:pPr>
      <w:r>
        <w:rPr>
          <w:rFonts w:ascii="Calibri" w:cs="Calibri" w:eastAsia="Calibri" w:hAnsi="Calibri"/>
        </w:rPr>
        <w:t xml:space="preserve">BOTOX ONE is the US healthcare-professional (HCP) portal for AbbVie’s BOTOX therapeutic franchise. The site is built on Adobe Experience Manager (classic AEM 6.5 / AEMaaCS author-publish) served through an AWS ALB + Amazon CloudFront CDN, and is deeply instrumented with the Adobe Experience Cloud stack (Launch/DTM, Target, Analytics, Audience Manager) plus Coveo enterprise search and AEM Adaptive Forms behind an HCP authentication gate.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site is content-heavy but highly templated. Across the entire sitemap of 139 URLs, content collapses into 19 structural templates dominated by a small number of repeated indication (therapeutic-area) patterns. This makes the bulk of the estate well-suited to automated, template-driven migration to Edge Delivery Services, with a focused manual effort reserved for forms, search, the authentication gate, personalization, and the interactive dosing calculators.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52B1E"/>
          <w:sz w:val="24"/>
          <w:szCs w:val="24"/>
        </w:rPr>
        <w:t xml:space="preserve">Key Metrics at a Glance</w:t>
      </w:r>
    </w:p>
    <w:tbl>
      <w:tblPr>
        <w:tblW w:type="pct" w:w="100%"/>
        <w:tblBorders>
          <w:top w:val="single" w:color="C9D1E0" w:sz="4"/>
          <w:left w:val="single" w:color="C9D1E0" w:sz="4"/>
          <w:bottom w:val="single" w:color="C9D1E0" w:sz="4"/>
          <w:right w:val="single" w:color="C9D1E0" w:sz="4"/>
          <w:insideH w:val="single" w:color="C9D1E0" w:sz="2"/>
          <w:insideV w:val="single" w:color="C9D1E0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pct" w:w="50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 URLs in sitemap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139</w:t>
            </w:r>
          </w:p>
        </w:tc>
      </w:tr>
      <w:tr>
        <w:tc>
          <w:tcPr>
            <w:tcW w:type="pct" w:w="5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Pages successfully analyzed</w:t>
            </w:r>
          </w:p>
        </w:tc>
        <w:tc>
          <w:tcPr>
            <w:tcW w:type="pct" w:w="5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117 (84% coverage)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Pages failed / dead (HTTP 404)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21 (legacy /content/*.html + "blepharospam" typo paths)</w:t>
            </w:r>
          </w:p>
        </w:tc>
      </w:tr>
      <w:tr>
        <w:tc>
          <w:tcPr>
            <w:tcW w:type="pct" w:w="5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Document assets (PDF) in sitemap</w:t>
            </w:r>
          </w:p>
        </w:tc>
        <w:tc>
          <w:tcPr>
            <w:tcW w:type="pct" w:w="5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Estimated image / media assets (DAM)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300–500 (extrapolated)</w:t>
            </w:r>
          </w:p>
        </w:tc>
      </w:tr>
      <w:tr>
        <w:tc>
          <w:tcPr>
            <w:tcW w:type="pct" w:w="5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Unique page templates</w:t>
            </w:r>
          </w:p>
        </w:tc>
        <w:tc>
          <w:tcPr>
            <w:tcW w:type="pct" w:w="5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Block instances catalogued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438</w:t>
            </w:r>
          </w:p>
        </w:tc>
      </w:tr>
      <w:tr>
        <w:tc>
          <w:tcPr>
            <w:tcW w:type="pct" w:w="5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Unique block variants</w:t>
            </w:r>
          </w:p>
        </w:tc>
        <w:tc>
          <w:tcPr>
            <w:tcW w:type="pct" w:w="5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96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Locales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 (en + en-us authoring path)</w:t>
            </w:r>
          </w:p>
        </w:tc>
      </w:tr>
      <w:tr>
        <w:tc>
          <w:tcPr>
            <w:tcW w:type="pct" w:w="5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Primary CMS</w:t>
            </w:r>
          </w:p>
        </w:tc>
        <w:tc>
          <w:tcPr>
            <w:tcW w:type="pct" w:w="5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Adobe Experience Manager (author/publish + Dispatcher)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CDN / Edge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Amazon CloudFront + AWS ALB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[object Object],[object Object]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1E5B"/>
          <w:sz w:val="30"/>
          <w:szCs w:val="30"/>
        </w:rPr>
        <w:t xml:space="preserve">URL Accounting &amp; Coverage</w:t>
      </w:r>
    </w:p>
    <w:p>
      <w:pPr>
        <w:spacing w:after="120"/>
      </w:pPr>
      <w:r>
        <w:rPr>
          <w:rFonts w:ascii="Calibri" w:cs="Calibri" w:eastAsia="Calibri" w:hAnsi="Calibri"/>
        </w:rPr>
        <w:t xml:space="preserve">Every URL discovered from the BOTOX ONE sitemap set (sitemap.xml, sitemap.pages.xml, sitemap.documents.xml) was tracked through analysis. The table below reconciles the full URL inventory.</w:t>
      </w:r>
    </w:p>
    <w:tbl>
      <w:tblPr>
        <w:tblW w:type="pct" w:w="100%"/>
        <w:tblBorders>
          <w:top w:val="single" w:color="C9D1E0" w:sz="4"/>
          <w:left w:val="single" w:color="C9D1E0" w:sz="4"/>
          <w:bottom w:val="single" w:color="C9D1E0" w:sz="4"/>
          <w:right w:val="single" w:color="C9D1E0" w:sz="4"/>
          <w:insideH w:val="single" w:color="C9D1E0" w:sz="2"/>
          <w:insideV w:val="single" w:color="C9D1E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2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pct" w:w="14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pct" w:w="44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 URLs discovered (sitemap)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139</w:t>
            </w:r>
          </w:p>
        </w:tc>
        <w:tc>
          <w:tcPr>
            <w:tcW w:type="pct" w:w="4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Deduplicated, homepage included</w:t>
            </w:r>
          </w:p>
        </w:tc>
      </w:tr>
      <w:tr>
        <w:tc>
          <w:tcPr>
            <w:tcW w:type="pct" w:w="4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Pages analyzed successfully</w:t>
            </w:r>
          </w:p>
        </w:tc>
        <w:tc>
          <w:tcPr>
            <w:tcW w:type="pct" w:w="1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117</w:t>
            </w:r>
          </w:p>
        </w:tc>
        <w:tc>
          <w:tcPr>
            <w:tcW w:type="pct" w:w="4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Fingerprinted, templated, blocks catalogued</w:t>
            </w:r>
          </w:p>
        </w:tc>
      </w:tr>
      <w:tr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Pages failed (HTTP 404 / dead)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pct" w:w="4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Not migratable — see breakdown below</w:t>
            </w:r>
          </w:p>
        </w:tc>
      </w:tr>
      <w:tr>
        <w:tc>
          <w:tcPr>
            <w:tcW w:type="pct" w:w="4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Document assets (PDF)</w:t>
            </w:r>
          </w:p>
        </w:tc>
        <w:tc>
          <w:tcPr>
            <w:tcW w:type="pct" w:w="1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pct" w:w="4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From sitemap.documents.xml — migrate to DAM</w:t>
            </w:r>
          </w:p>
        </w:tc>
      </w:tr>
      <w:tr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Live content pages (unique)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~104</w:t>
            </w:r>
          </w:p>
        </w:tc>
        <w:tc>
          <w:tcPr>
            <w:tcW w:type="pct" w:w="4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Excludes form-iframe internal URLs &amp; dead links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52B1E"/>
          <w:sz w:val="24"/>
          <w:szCs w:val="24"/>
        </w:rPr>
        <w:t xml:space="preserve">Dead / Non-Migratable URLs (21 failures)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"blepharospam" typo paths («/blepharospam/*») — a misspelling of "blepharospasm"; these 404 and should be dropped or 301-redirected to the correct blepharospasm pages.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Legacy /content/botoxone/en-us/*.html paths — old AEM internal resource paths exposed in the sitemap that now 404; superseded by the clean vanity URLs.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/complete-program — retired page returning 404.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A6472"/>
        </w:rPr>
        <w:t xml:space="preserve">Recommendation: these URLs should be captured in a redirect map during migration rather than re-created.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1E5B"/>
          <w:sz w:val="30"/>
          <w:szCs w:val="30"/>
        </w:rPr>
        <w:t xml:space="preserve">1. High-Level Summary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52B1E"/>
          <w:sz w:val="24"/>
          <w:szCs w:val="24"/>
        </w:rPr>
        <w:t xml:space="preserve">1.1 Current Technology Stack</w:t>
      </w:r>
    </w:p>
    <w:tbl>
      <w:tblPr>
        <w:tblW w:type="pct" w:w="100%"/>
        <w:tblBorders>
          <w:top w:val="single" w:color="C9D1E0" w:sz="4"/>
          <w:left w:val="single" w:color="C9D1E0" w:sz="4"/>
          <w:bottom w:val="single" w:color="C9D1E0" w:sz="4"/>
          <w:right w:val="single" w:color="C9D1E0" w:sz="4"/>
          <w:insideH w:val="single" w:color="C9D1E0" w:sz="2"/>
          <w:insideV w:val="single" w:color="C9D1E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pct" w:w="38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pct" w:w="40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CMS / Authoring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Adobe Experience Manager (6.5 / AEMaaCS classic, author-publish)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x-dispatcher, x-vhost: publish headers; /etc.clientlibs/, /content/dam/ paths</w:t>
            </w:r>
          </w:p>
        </w:tc>
      </w:tr>
      <w:tr>
        <w:tc>
          <w:tcPr>
            <w:tcW w:type="pct" w:w="2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Rendering</w:t>
            </w:r>
          </w:p>
        </w:tc>
        <w:tc>
          <w:tcPr>
            <w:tcW w:type="pct" w:w="38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Server-side HTL/JSP components + AEM clientlibs (jQuery-era common-elements lib)</w:t>
            </w:r>
          </w:p>
        </w:tc>
        <w:tc>
          <w:tcPr>
            <w:tcW w:type="pct" w:w="4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clientlib-component.min.js, components.min.js</w:t>
            </w:r>
          </w:p>
        </w:tc>
      </w:tr>
      <w:tr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CDN / Edge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Amazon CloudFront + AWS Application Load Balancer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via: CloudFront, x-amz-cf-id, AWSALB cookies</w:t>
            </w:r>
          </w:p>
        </w:tc>
      </w:tr>
      <w:tr>
        <w:tc>
          <w:tcPr>
            <w:tcW w:type="pct" w:w="2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Tag Management</w:t>
            </w:r>
          </w:p>
        </w:tc>
        <w:tc>
          <w:tcPr>
            <w:tcW w:type="pct" w:w="38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Adobe Launch / DTM</w:t>
            </w:r>
          </w:p>
        </w:tc>
        <w:tc>
          <w:tcPr>
            <w:tcW w:type="pct" w:w="4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assets.adobedtm.com</w:t>
            </w:r>
          </w:p>
        </w:tc>
      </w:tr>
      <w:tr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Analytics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Adobe Analytics (AppMeasurement)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smetrics.abbvie.com, omtrdc</w:t>
            </w:r>
          </w:p>
        </w:tc>
      </w:tr>
      <w:tr>
        <w:tc>
          <w:tcPr>
            <w:tcW w:type="pct" w:w="2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Personalization</w:t>
            </w:r>
          </w:p>
        </w:tc>
        <w:tc>
          <w:tcPr>
            <w:tcW w:type="pct" w:w="38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Adobe Target</w:t>
            </w:r>
          </w:p>
        </w:tc>
        <w:tc>
          <w:tcPr>
            <w:tcW w:type="pct" w:w="4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abbviecommercial.tt.omtrdc.net</w:t>
            </w:r>
          </w:p>
        </w:tc>
      </w:tr>
      <w:tr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Audience / DMP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Adobe Audience Manager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demdex.net, dpm.demdex.net</w:t>
            </w:r>
          </w:p>
        </w:tc>
      </w:tr>
      <w:tr>
        <w:tc>
          <w:tcPr>
            <w:tcW w:type="pct" w:w="2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Enterprise Search</w:t>
            </w:r>
          </w:p>
        </w:tc>
        <w:tc>
          <w:tcPr>
            <w:tcW w:type="pct" w:w="38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Coveo (cloud-hosted)</w:t>
            </w:r>
          </w:p>
        </w:tc>
        <w:tc>
          <w:tcPr>
            <w:tcW w:type="pct" w:w="4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platform.cloud.coveo.com, coveoOrganizationId</w:t>
            </w:r>
          </w:p>
        </w:tc>
      </w:tr>
      <w:tr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Forms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AEM Adaptive Forms (iframe embed)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forms-embed clientlib, aemform.iframe.en.html</w:t>
            </w:r>
          </w:p>
        </w:tc>
      </w:tr>
      <w:tr>
        <w:tc>
          <w:tcPr>
            <w:tcW w:type="pct" w:w="2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Web Fonts</w:t>
            </w:r>
          </w:p>
        </w:tc>
        <w:tc>
          <w:tcPr>
            <w:tcW w:type="pct" w:w="38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Adobe Fonts (Typekit)</w:t>
            </w:r>
          </w:p>
        </w:tc>
        <w:tc>
          <w:tcPr>
            <w:tcW w:type="pct" w:w="4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use.typekit.net</w:t>
            </w:r>
          </w:p>
        </w:tc>
      </w:tr>
      <w:tr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Bot / spam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Google reCAPTCHA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recaptcha reference on register</w:t>
            </w:r>
          </w:p>
        </w:tc>
      </w:tr>
      <w:tr>
        <w:tc>
          <w:tcPr>
            <w:tcW w:type="pct" w:w="2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Performance RUM</w:t>
            </w:r>
          </w:p>
        </w:tc>
        <w:tc>
          <w:tcPr>
            <w:tcW w:type="pct" w:w="38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AEM Edge RUM beacon</w:t>
            </w:r>
          </w:p>
        </w:tc>
        <w:tc>
          <w:tcPr>
            <w:tcW w:type="pct" w:w="4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rum.hlx.page</w:t>
            </w:r>
          </w:p>
        </w:tc>
      </w:tr>
      <w:tr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Identity / CRM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Salesforce (AbbVie metadata site)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abbviemetadata.my.site.com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52B1E"/>
          <w:sz w:val="24"/>
          <w:szCs w:val="24"/>
        </w:rPr>
        <w:t xml:space="preserve">1.2 Page Count by Thematic Breakdown</w:t>
      </w:r>
    </w:p>
    <w:tbl>
      <w:tblPr>
        <w:tblW w:type="pct" w:w="100%"/>
        <w:tblBorders>
          <w:top w:val="single" w:color="C9D1E0" w:sz="4"/>
          <w:left w:val="single" w:color="C9D1E0" w:sz="4"/>
          <w:bottom w:val="single" w:color="C9D1E0" w:sz="4"/>
          <w:right w:val="single" w:color="C9D1E0" w:sz="4"/>
          <w:insideH w:val="single" w:color="C9D1E0" w:sz="2"/>
          <w:insideV w:val="single" w:color="C9D1E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2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pct" w:w="16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Approx. Pages</w:t>
            </w:r>
          </w:p>
        </w:tc>
        <w:tc>
          <w:tcPr>
            <w:tcW w:type="pct" w:w="42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Corporate / Company / Legal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4–6</w:t>
            </w:r>
          </w:p>
        </w:tc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site-map, AbbVie privacy, ISI/safety boilerplate</w:t>
            </w:r>
          </w:p>
        </w:tc>
      </w:tr>
      <w:tr>
        <w:tc>
          <w:tcPr>
            <w:tcW w:type="pct" w:w="4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Marketing — Indication content (therapeutic areas)</w:t>
            </w:r>
          </w:p>
        </w:tc>
        <w:tc>
          <w:tcPr>
            <w:tcW w:type="pct" w:w="16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~90</w:t>
            </w:r>
          </w:p>
        </w:tc>
        <w:tc>
          <w:tcPr>
            <w:tcW w:type="pct" w:w="4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 indications × (overview + patient-id + efficacy + safety + dosing + resources)</w:t>
            </w:r>
          </w:p>
        </w:tc>
      </w:tr>
      <w:tr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Account / Authentication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sign-in, register, manage-account, forgot/reset password</w:t>
            </w:r>
          </w:p>
        </w:tc>
      </w:tr>
      <w:tr>
        <w:tc>
          <w:tcPr>
            <w:tcW w:type="pct" w:w="4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eCommerce / Ordering systems</w:t>
            </w:r>
          </w:p>
        </w:tc>
        <w:tc>
          <w:tcPr>
            <w:tcW w:type="pct" w:w="16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2–3</w:t>
            </w:r>
          </w:p>
        </w:tc>
        <w:tc>
          <w:tcPr>
            <w:tcW w:type="pct" w:w="4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allergandirect.com &amp; savings program links (external)</w:t>
            </w:r>
          </w:p>
        </w:tc>
      </w:tr>
      <w:tr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 &amp; Resource listing (Coveo-fed)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~25</w:t>
            </w:r>
          </w:p>
        </w:tc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practice-resources, */resources, search-results</w:t>
            </w:r>
          </w:p>
        </w:tc>
      </w:tr>
      <w:tr>
        <w:tc>
          <w:tcPr>
            <w:tcW w:type="pct" w:w="4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Tools / Interactive</w:t>
            </w:r>
          </w:p>
        </w:tc>
        <w:tc>
          <w:tcPr>
            <w:tcW w:type="pct" w:w="16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3–4</w:t>
            </w:r>
          </w:p>
        </w:tc>
        <w:tc>
          <w:tcPr>
            <w:tcW w:type="pct" w:w="4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find-an-injector, ULS/LLS dosing calculators</w:t>
            </w:r>
          </w:p>
        </w:tc>
      </w:tr>
      <w:tr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Programs / Training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4–6</w:t>
            </w:r>
          </w:p>
        </w:tc>
        <w:tc>
          <w:tcPr>
            <w:tcW w:type="pct" w:w="4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maxedge, online-training, education-and-training, badges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Marketing pages organize by main-menu indication: Chronic Migraine, Adult Spasticity, Pediatric Spasticity, Cervical Dystonia, Strabismus, Blepharospasm, Overactive Bladder (OAB), Adult NDO, Pediatric NDO, and Hyperhidrosis. Each indication repeats the same sub-page structure (overview → patient identification → efficacy → safety → dosing → resources), which is the principal driver of the high template-reuse ratio.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52B1E"/>
          <w:sz w:val="24"/>
          <w:szCs w:val="24"/>
        </w:rPr>
        <w:t xml:space="preserve">1.3 Static vs. Dynamic Pages</w:t>
      </w:r>
    </w:p>
    <w:tbl>
      <w:tblPr>
        <w:tblW w:type="pct" w:w="100%"/>
        <w:tblBorders>
          <w:top w:val="single" w:color="C9D1E0" w:sz="4"/>
          <w:left w:val="single" w:color="C9D1E0" w:sz="4"/>
          <w:bottom w:val="single" w:color="C9D1E0" w:sz="4"/>
          <w:right w:val="single" w:color="C9D1E0" w:sz="4"/>
          <w:insideH w:val="single" w:color="C9D1E0" w:sz="2"/>
          <w:insideV w:val="single" w:color="C9D1E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16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Approx. Pages</w:t>
            </w:r>
          </w:p>
        </w:tc>
        <w:tc>
          <w:tcPr>
            <w:tcW w:type="pct" w:w="56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Characterisation</w:t>
            </w:r>
          </w:p>
        </w:tc>
      </w:tr>
      <w:tr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Static (authored content)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~95</w:t>
            </w:r>
          </w:p>
        </w:tc>
        <w:tc>
          <w:tcPr>
            <w:tcW w:type="pct" w:w="5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Indication content/clinical pages — authored HTL, image/text/CTA blocks. Directly template-migratable.</w:t>
            </w:r>
          </w:p>
        </w:tc>
      </w:tr>
      <w:tr>
        <w:tc>
          <w:tcPr>
            <w:tcW w:type="pct" w:w="28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Dynamic (data-driven)</w:t>
            </w:r>
          </w:p>
        </w:tc>
        <w:tc>
          <w:tcPr>
            <w:tcW w:type="pct" w:w="16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~25</w:t>
            </w:r>
          </w:p>
        </w:tc>
        <w:tc>
          <w:tcPr>
            <w:tcW w:type="pct" w:w="56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Coveo-fed resources &amp; search listings — results rendered client-side from search API.</w:t>
            </w:r>
          </w:p>
        </w:tc>
      </w:tr>
      <w:tr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Interactive / app-like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~9</w:t>
            </w:r>
          </w:p>
        </w:tc>
        <w:tc>
          <w:tcPr>
            <w:tcW w:type="pct" w:w="5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Adaptive Forms (7) + dosing calculators (2) — stateful, gated, JS logic.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52B1E"/>
          <w:sz w:val="24"/>
          <w:szCs w:val="24"/>
        </w:rPr>
        <w:t xml:space="preserve">1.4 Design System Analysis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site uses a shared AbbVie "common-elements" AEM clientlib that provides a consistent but legacy design system: a fixed header/utility nav, indication-colored hero banners, card grids, tabbed content, accordions, data tables, and a persistent Important Safety Information (ISI) tray/footer. Styling is delivered through a single minified CSS clientlib rather than a token-based modern design system. For EDS, this translates cleanly into a small set of reusable blocks with style variations (dark/light, with/without image) rather than many distinct blocks — confirmed by the variant analysis where 96 variants roll up to ~13 base block families.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1E5B"/>
          <w:sz w:val="30"/>
          <w:szCs w:val="30"/>
        </w:rPr>
        <w:t xml:space="preserve">2. Templates Inventory</w:t>
      </w:r>
    </w:p>
    <w:p>
      <w:pPr>
        <w:spacing w:after="120"/>
      </w:pPr>
      <w:r>
        <w:rPr>
          <w:rFonts w:ascii="Calibri" w:cs="Calibri" w:eastAsia="Calibri" w:hAnsi="Calibri"/>
        </w:rPr>
        <w:t xml:space="preserve">Template discovery (weighted structural-similarity clustering over 117 analyzed pages) produced 19 unique templates. Complexity is rated on layout richness, dynamic behaviour, and integration dependency.</w:t>
      </w:r>
    </w:p>
    <w:tbl>
      <w:tblPr>
        <w:tblW w:type="pct" w:w="100%"/>
        <w:tblBorders>
          <w:top w:val="single" w:color="C9D1E0" w:sz="4"/>
          <w:left w:val="single" w:color="C9D1E0" w:sz="4"/>
          <w:bottom w:val="single" w:color="C9D1E0" w:sz="4"/>
          <w:right w:val="single" w:color="C9D1E0" w:sz="4"/>
          <w:insideH w:val="single" w:color="C9D1E0" w:sz="2"/>
          <w:insideV w:val="single" w:color="C9D1E0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pct" w:w="7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Pages</w:t>
            </w:r>
          </w:p>
        </w:tc>
        <w:tc>
          <w:tcPr>
            <w:tcW w:type="pct" w:w="12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pct" w:w="33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Reasoning</w:t>
            </w:r>
          </w:p>
        </w:tc>
        <w:tc>
          <w:tcPr>
            <w:tcW w:type="pct" w:w="28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Reference URL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indication-content-page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8A00"/>
                <w:sz w:val="18"/>
                <w:szCs w:val="18"/>
              </w:rPr>
              <w:t xml:space="preserve">Medium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Rich body sections + ISI; high volume but standardized</w:t>
            </w:r>
          </w:p>
        </w:tc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https://www.botoxone.com/adult-ndo/dosing</w:t>
            </w:r>
          </w:p>
        </w:tc>
      </w:tr>
      <w:tr>
        <w:tc>
          <w:tcPr>
            <w:tcW w:type="pct" w:w="2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indication-clinical-detail</w:t>
            </w:r>
          </w:p>
        </w:tc>
        <w:tc>
          <w:tcPr>
            <w:tcW w:type="pct" w:w="7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pct" w:w="33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 tables, charts, dosing logic, ISI</w:t>
            </w:r>
          </w:p>
        </w:tc>
        <w:tc>
          <w:tcPr>
            <w:tcW w:type="pct" w:w="28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https://www.botoxone.com/adult-spasticity/dosing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resources-listing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Coveo-fed faceted document search</w:t>
            </w:r>
          </w:p>
        </w:tc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https://www.botoxone.com/adult-ndo/resources</w:t>
            </w:r>
          </w:p>
        </w:tc>
      </w:tr>
      <w:tr>
        <w:tc>
          <w:tcPr>
            <w:tcW w:type="pct" w:w="2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search-results-listing</w:t>
            </w:r>
          </w:p>
        </w:tc>
        <w:tc>
          <w:tcPr>
            <w:tcW w:type="pct" w:w="7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pct" w:w="33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Coveo search results + facets + query params</w:t>
            </w:r>
          </w:p>
        </w:tc>
        <w:tc>
          <w:tcPr>
            <w:tcW w:type="pct" w:w="28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https://www.botoxone.com/practice-resources?q=Office%20Tools&amp;sp_c=5&amp;page=1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indication-overview-c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8A00"/>
                <w:sz w:val="18"/>
                <w:szCs w:val="18"/>
              </w:rPr>
              <w:t xml:space="preserve">Medium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Hero + nav tiles, repeated layout</w:t>
            </w:r>
          </w:p>
        </w:tc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https://www.botoxone.com/oab/</w:t>
            </w:r>
          </w:p>
        </w:tc>
      </w:tr>
      <w:tr>
        <w:tc>
          <w:tcPr>
            <w:tcW w:type="pct" w:w="2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info-content-page</w:t>
            </w:r>
          </w:p>
        </w:tc>
        <w:tc>
          <w:tcPr>
            <w:tcW w:type="pct" w:w="7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pct" w:w="33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Body copy + accordions, mostly static</w:t>
            </w:r>
          </w:p>
        </w:tc>
        <w:tc>
          <w:tcPr>
            <w:tcW w:type="pct" w:w="28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https://www.botoxone.com/botox-services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indication-overview-a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8A00"/>
                <w:sz w:val="18"/>
                <w:szCs w:val="18"/>
              </w:rPr>
              <w:t xml:space="preserve">Medium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Hero + nav tiles, repeated layout</w:t>
            </w:r>
          </w:p>
        </w:tc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https://www.botoxone.com/adult-ndo</w:t>
            </w:r>
          </w:p>
        </w:tc>
      </w:tr>
      <w:tr>
        <w:tc>
          <w:tcPr>
            <w:tcW w:type="pct" w:w="2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indication-overview-b</w:t>
            </w:r>
          </w:p>
        </w:tc>
        <w:tc>
          <w:tcPr>
            <w:tcW w:type="pct" w:w="7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8A00"/>
                <w:sz w:val="18"/>
                <w:szCs w:val="18"/>
              </w:rPr>
              <w:t xml:space="preserve">Medium</w:t>
            </w:r>
          </w:p>
        </w:tc>
        <w:tc>
          <w:tcPr>
            <w:tcW w:type="pct" w:w="33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Hero + section nav, repeated layout</w:t>
            </w:r>
          </w:p>
        </w:tc>
        <w:tc>
          <w:tcPr>
            <w:tcW w:type="pct" w:w="28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https://www.botoxone.com/adult-spasticity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homepage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Hero, indication grid, promos, personalization slots</w:t>
            </w:r>
          </w:p>
        </w:tc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</w:t>
            </w:r>
          </w:p>
        </w:tc>
      </w:tr>
      <w:tr>
        <w:tc>
          <w:tcPr>
            <w:tcW w:type="pct" w:w="2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form-forgot-password</w:t>
            </w:r>
          </w:p>
        </w:tc>
        <w:tc>
          <w:tcPr>
            <w:tcW w:type="pct" w:w="7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8A00"/>
                <w:sz w:val="18"/>
                <w:szCs w:val="18"/>
              </w:rPr>
              <w:t xml:space="preserve">Medium</w:t>
            </w:r>
          </w:p>
        </w:tc>
        <w:tc>
          <w:tcPr>
            <w:tcW w:type="pct" w:w="33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Adaptive Form, single field</w:t>
            </w:r>
          </w:p>
        </w:tc>
        <w:tc>
          <w:tcPr>
            <w:tcW w:type="pct" w:w="28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https://www.botoxone.com/content/botoxone/en-us/forgot-password/jcr:content/contentpar/background_container/bkgwidthcontainer/aemform.iframe.en.html?dataRef=&amp;wcmmode=DISABLED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form-patient-access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Adaptive Form + support workflow</w:t>
            </w:r>
          </w:p>
        </w:tc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https://www.botoxone.com/content/botoxone/en-us/patient-access-and-support/jcr:content/contentpar/columns/0/aemform.iframe.en.html?dataRef=&amp;wcmmode=DISABLED</w:t>
            </w:r>
          </w:p>
        </w:tc>
      </w:tr>
      <w:tr>
        <w:tc>
          <w:tcPr>
            <w:tcW w:type="pct" w:w="2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form-register</w:t>
            </w:r>
          </w:p>
        </w:tc>
        <w:tc>
          <w:tcPr>
            <w:tcW w:type="pct" w:w="7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pct" w:w="33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Multi-field Adaptive Form + reCAPTCHA + CRM</w:t>
            </w:r>
          </w:p>
        </w:tc>
        <w:tc>
          <w:tcPr>
            <w:tcW w:type="pct" w:w="28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https://www.botoxone.com/content/botoxone/en-us/register/jcr:content/contentpar/columns/0/container/containerparsys/aemform.iframe.en.html?dataRef=&amp;wcmmode=DISABLED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form-request-a-rep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Adaptive Form + CRM routing</w:t>
            </w:r>
          </w:p>
        </w:tc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https://www.botoxone.com/content/botoxone/en-us/request-a-rep/jcr:content/contentpar/columns_1660153004/0/container/containerparsys/aemform.iframe.en.html?dataRef=&amp;wcmmode=DISABLED</w:t>
            </w:r>
          </w:p>
        </w:tc>
      </w:tr>
      <w:tr>
        <w:tc>
          <w:tcPr>
            <w:tcW w:type="pct" w:w="2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form-reset-password</w:t>
            </w:r>
          </w:p>
        </w:tc>
        <w:tc>
          <w:tcPr>
            <w:tcW w:type="pct" w:w="7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8A00"/>
                <w:sz w:val="18"/>
                <w:szCs w:val="18"/>
              </w:rPr>
              <w:t xml:space="preserve">Medium</w:t>
            </w:r>
          </w:p>
        </w:tc>
        <w:tc>
          <w:tcPr>
            <w:tcW w:type="pct" w:w="33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Adaptive Form, token flow</w:t>
            </w:r>
          </w:p>
        </w:tc>
        <w:tc>
          <w:tcPr>
            <w:tcW w:type="pct" w:w="28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https://www.botoxone.com/content/botoxone/en-us/reset-password/jcr:content/contentpar/columns/0/aemform.iframe.en.html?dataRef=&amp;wcmmode=DISABLED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form-sign-in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Adaptive Form + auth gate</w:t>
            </w:r>
          </w:p>
        </w:tc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https://www.botoxone.com/content/botoxone/en-us/sign-in/jcr:content/contentpar/background_container/bkgwidthcontainer/aemform.iframe.en.html?dataRef=&amp;wcmmode=DISABLED</w:t>
            </w:r>
          </w:p>
        </w:tc>
      </w:tr>
      <w:tr>
        <w:tc>
          <w:tcPr>
            <w:tcW w:type="pct" w:w="2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find-an-injector</w:t>
            </w:r>
          </w:p>
        </w:tc>
        <w:tc>
          <w:tcPr>
            <w:tcW w:type="pct" w:w="7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pct" w:w="33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Map/locator widget, external data</w:t>
            </w:r>
          </w:p>
        </w:tc>
        <w:tc>
          <w:tcPr>
            <w:tcW w:type="pct" w:w="28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https://www.botoxone.com/find-an-injector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program-landing-maxedge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8A00"/>
                <w:sz w:val="18"/>
                <w:szCs w:val="18"/>
              </w:rPr>
              <w:t xml:space="preserve">Medium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Program hero + CTAs + details</w:t>
            </w:r>
          </w:p>
        </w:tc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https://www.botoxone.com/maxedge</w:t>
            </w:r>
          </w:p>
        </w:tc>
      </w:tr>
      <w:tr>
        <w:tc>
          <w:tcPr>
            <w:tcW w:type="pct" w:w="2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training-page</w:t>
            </w:r>
          </w:p>
        </w:tc>
        <w:tc>
          <w:tcPr>
            <w:tcW w:type="pct" w:w="7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8A00"/>
                <w:sz w:val="18"/>
                <w:szCs w:val="18"/>
              </w:rPr>
              <w:t xml:space="preserve">Medium</w:t>
            </w:r>
          </w:p>
        </w:tc>
        <w:tc>
          <w:tcPr>
            <w:tcW w:type="pct" w:w="33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Course modules, likely gated</w:t>
            </w:r>
          </w:p>
        </w:tc>
        <w:tc>
          <w:tcPr>
            <w:tcW w:type="pct" w:w="28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https://www.botoxone.com/online-training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support-content-page</w:t>
            </w:r>
          </w:p>
        </w:tc>
        <w:tc>
          <w:tcPr>
            <w:tcW w:type="pct" w:w="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pct" w:w="3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Body copy + links</w:t>
            </w:r>
          </w:p>
        </w:tc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https://www.botoxone.com/patient-access-and-support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1E5B"/>
          <w:sz w:val="30"/>
          <w:szCs w:val="30"/>
        </w:rPr>
        <w:t xml:space="preserve">3. Component Catalog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438 block instances detected across the site roll up to 96 variants over ~13 base block families. The "with-image / dark / light" suffixes are visual variations of the same content model — these should be built as design variants of a single block, not as new blocks.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52B1E"/>
          <w:sz w:val="24"/>
          <w:szCs w:val="24"/>
        </w:rPr>
        <w:t xml:space="preserve">3.1 Base Block Families (usage rollup)</w:t>
      </w:r>
    </w:p>
    <w:tbl>
      <w:tblPr>
        <w:tblW w:type="pct" w:w="100%"/>
        <w:tblBorders>
          <w:top w:val="single" w:color="C9D1E0" w:sz="4"/>
          <w:left w:val="single" w:color="C9D1E0" w:sz="4"/>
          <w:bottom w:val="single" w:color="C9D1E0" w:sz="4"/>
          <w:right w:val="single" w:color="C9D1E0" w:sz="4"/>
          <w:insideH w:val="single" w:color="C9D1E0" w:sz="2"/>
          <w:insideV w:val="single" w:color="C9D1E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 Block</w:t>
            </w:r>
          </w:p>
        </w:tc>
        <w:tc>
          <w:tcPr>
            <w:tcW w:type="pct" w:w="30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Variants</w:t>
            </w:r>
          </w:p>
        </w:tc>
        <w:tc>
          <w:tcPr>
            <w:tcW w:type="pct" w:w="30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 Instances</w:t>
            </w:r>
          </w:p>
        </w:tc>
      </w:tr>
      <w:tr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unknown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196</w:t>
            </w:r>
          </w:p>
        </w:tc>
      </w:tr>
      <w:tr>
        <w:tc>
          <w:tcPr>
            <w:tcW w:type="pct" w:w="4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columns</w:t>
            </w:r>
          </w:p>
        </w:tc>
        <w:tc>
          <w:tcPr>
            <w:tcW w:type="pct" w:w="3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pct" w:w="3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86</w:t>
            </w:r>
          </w:p>
        </w:tc>
      </w:tr>
      <w:tr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type="pct" w:w="4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form</w:t>
            </w:r>
          </w:p>
        </w:tc>
        <w:tc>
          <w:tcPr>
            <w:tcW w:type="pct" w:w="3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3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tabs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pct" w:w="4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video</w:t>
            </w:r>
          </w:p>
        </w:tc>
        <w:tc>
          <w:tcPr>
            <w:tcW w:type="pct" w:w="3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3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cards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pct" w:w="4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carousel</w:t>
            </w:r>
          </w:p>
        </w:tc>
        <w:tc>
          <w:tcPr>
            <w:tcW w:type="pct" w:w="3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3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accordion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pct" w:w="4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footer</w:t>
            </w:r>
          </w:p>
        </w:tc>
        <w:tc>
          <w:tcPr>
            <w:tcW w:type="pct" w:w="3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3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header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pct" w:w="4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quote</w:t>
            </w:r>
          </w:p>
        </w:tc>
        <w:tc>
          <w:tcPr>
            <w:tcW w:type="pct" w:w="3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3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breadcrumbs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5A6472"/>
        </w:rPr>
        <w:t xml:space="preserve">Note: the 21 "unknown" variants are predominantly default-content patterns (heading + text + CTA + image combinations) that map to native EDS default content rather than authored blocks — they do not require custom block development.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52B1E"/>
          <w:sz w:val="24"/>
          <w:szCs w:val="24"/>
        </w:rPr>
        <w:t xml:space="preserve">3.2 Reusable Components Detail</w:t>
      </w:r>
    </w:p>
    <w:tbl>
      <w:tblPr>
        <w:tblW w:type="pct" w:w="100%"/>
        <w:tblBorders>
          <w:top w:val="single" w:color="C9D1E0" w:sz="4"/>
          <w:left w:val="single" w:color="C9D1E0" w:sz="4"/>
          <w:bottom w:val="single" w:color="C9D1E0" w:sz="4"/>
          <w:right w:val="single" w:color="C9D1E0" w:sz="4"/>
          <w:insideH w:val="single" w:color="C9D1E0" w:sz="2"/>
          <w:insideV w:val="single" w:color="C9D1E0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3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pct" w:w="6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Cplx</w:t>
            </w:r>
          </w:p>
        </w:tc>
        <w:tc>
          <w:tcPr>
            <w:tcW w:type="pct" w:w="22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  <w:tc>
          <w:tcPr>
            <w:tcW w:type="pct" w:w="13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Core Component?</w:t>
            </w:r>
          </w:p>
        </w:tc>
        <w:tc>
          <w:tcPr>
            <w:tcW w:type="pct" w:w="9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Backend?</w:t>
            </w:r>
          </w:p>
        </w:tc>
        <w:tc>
          <w:tcPr>
            <w:tcW w:type="pct" w:w="16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LLM-ready need</w:t>
            </w:r>
          </w:p>
        </w:tc>
        <w:tc>
          <w:tcPr>
            <w:tcW w:type="pct" w:w="9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UI-ext?</w:t>
            </w:r>
          </w:p>
        </w:tc>
        <w:tc>
          <w:tcPr>
            <w:tcW w:type="pct" w:w="12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Reference URL</w:t>
            </w:r>
          </w:p>
        </w:tc>
      </w:tr>
      <w:tr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Header / Utility Nav</w:t>
            </w:r>
          </w:p>
        </w:tc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Sticky global nav, indication mega-menu, sign-in/account utility, search entry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(custom)</w:t>
            </w:r>
          </w:p>
        </w:tc>
        <w:tc>
          <w:tcPr>
            <w:tcW w:type="pct" w:w="9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Server-rendered nav model for LLM crawl</w:t>
            </w:r>
          </w:p>
        </w:tc>
        <w:tc>
          <w:tcPr>
            <w:tcW w:type="pct" w:w="9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</w:t>
            </w:r>
          </w:p>
        </w:tc>
      </w:tr>
      <w:tr>
        <w:tc>
          <w:tcPr>
            <w:tcW w:type="pct" w:w="13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Footer + ISI Tray</w:t>
            </w:r>
          </w:p>
        </w:tc>
        <w:tc>
          <w:tcPr>
            <w:tcW w:type="pct" w:w="6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pct" w:w="2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Persistent Important Safety Information tray + legal footer; sticky, expandable</w:t>
            </w:r>
          </w:p>
        </w:tc>
        <w:tc>
          <w:tcPr>
            <w:tcW w:type="pct" w:w="13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Variant of core</w:t>
            </w:r>
          </w:p>
        </w:tc>
        <w:tc>
          <w:tcPr>
            <w:tcW w:type="pct" w:w="9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16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Static content</w:t>
            </w:r>
          </w:p>
        </w:tc>
        <w:tc>
          <w:tcPr>
            <w:tcW w:type="pct" w:w="9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Hero Banner</w:t>
            </w:r>
          </w:p>
        </w:tc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8A00"/>
                <w:sz w:val="18"/>
                <w:szCs w:val="18"/>
              </w:rPr>
              <w:t xml:space="preserve">Medium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Indication-colored hero with heading, copy, image, CTA; multiple variants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Variant of core (Teaser/Banner)</w:t>
            </w:r>
          </w:p>
        </w:tc>
        <w:tc>
          <w:tcPr>
            <w:tcW w:type="pct" w:w="9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Static; ensure semantic markup</w:t>
            </w:r>
          </w:p>
        </w:tc>
        <w:tc>
          <w:tcPr>
            <w:tcW w:type="pct" w:w="9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https://www.botoxone.com/oab</w:t>
            </w:r>
          </w:p>
        </w:tc>
      </w:tr>
      <w:tr>
        <w:tc>
          <w:tcPr>
            <w:tcW w:type="pct" w:w="13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Columns / Content Block</w:t>
            </w:r>
          </w:p>
        </w:tc>
        <w:tc>
          <w:tcPr>
            <w:tcW w:type="pct" w:w="6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8A00"/>
                <w:sz w:val="18"/>
                <w:szCs w:val="18"/>
              </w:rPr>
              <w:t xml:space="preserve">Medium</w:t>
            </w:r>
          </w:p>
        </w:tc>
        <w:tc>
          <w:tcPr>
            <w:tcW w:type="pct" w:w="2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34 variants — multi-column text/image/CTA layouts (the workhorse block)</w:t>
            </w:r>
          </w:p>
        </w:tc>
        <w:tc>
          <w:tcPr>
            <w:tcW w:type="pct" w:w="13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 (Columns/Container)</w:t>
            </w:r>
          </w:p>
        </w:tc>
        <w:tc>
          <w:tcPr>
            <w:tcW w:type="pct" w:w="9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16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Static</w:t>
            </w:r>
          </w:p>
        </w:tc>
        <w:tc>
          <w:tcPr>
            <w:tcW w:type="pct" w:w="9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https://www.botoxone.com/adult-ndo/efficacy</w:t>
            </w:r>
          </w:p>
        </w:tc>
      </w:tr>
      <w:tr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Cards Grid</w:t>
            </w:r>
          </w:p>
        </w:tc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8A00"/>
                <w:sz w:val="18"/>
                <w:szCs w:val="18"/>
              </w:rPr>
              <w:t xml:space="preserve">Medium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Indication navigation tiles &amp; resource cards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 (Teaser list)</w:t>
            </w:r>
          </w:p>
        </w:tc>
        <w:tc>
          <w:tcPr>
            <w:tcW w:type="pct" w:w="9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Sometimes (Coveo)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Static or hydrated</w:t>
            </w:r>
          </w:p>
        </w:tc>
        <w:tc>
          <w:tcPr>
            <w:tcW w:type="pct" w:w="9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</w:t>
            </w:r>
          </w:p>
        </w:tc>
      </w:tr>
      <w:tr>
        <w:tc>
          <w:tcPr>
            <w:tcW w:type="pct" w:w="13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Tabs</w:t>
            </w:r>
          </w:p>
        </w:tc>
        <w:tc>
          <w:tcPr>
            <w:tcW w:type="pct" w:w="6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8A00"/>
                <w:sz w:val="18"/>
                <w:szCs w:val="18"/>
              </w:rPr>
              <w:t xml:space="preserve">Medium</w:t>
            </w:r>
          </w:p>
        </w:tc>
        <w:tc>
          <w:tcPr>
            <w:tcW w:type="pct" w:w="2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 variants — tabbed clinical content</w:t>
            </w:r>
          </w:p>
        </w:tc>
        <w:tc>
          <w:tcPr>
            <w:tcW w:type="pct" w:w="13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 (Tabs)</w:t>
            </w:r>
          </w:p>
        </w:tc>
        <w:tc>
          <w:tcPr>
            <w:tcW w:type="pct" w:w="9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16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Static</w:t>
            </w:r>
          </w:p>
        </w:tc>
        <w:tc>
          <w:tcPr>
            <w:tcW w:type="pct" w:w="9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https://www.botoxone.com/chronic-migraine/efficacy</w:t>
            </w:r>
          </w:p>
        </w:tc>
      </w:tr>
      <w:tr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Accordion</w:t>
            </w:r>
          </w:p>
        </w:tc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FAQ / collapsible content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 (Accordion)</w:t>
            </w:r>
          </w:p>
        </w:tc>
        <w:tc>
          <w:tcPr>
            <w:tcW w:type="pct" w:w="9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Static</w:t>
            </w:r>
          </w:p>
        </w:tc>
        <w:tc>
          <w:tcPr>
            <w:tcW w:type="pct" w:w="9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https://www.botoxone.com/faqs</w:t>
            </w:r>
          </w:p>
        </w:tc>
      </w:tr>
      <w:tr>
        <w:tc>
          <w:tcPr>
            <w:tcW w:type="pct" w:w="13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Carousel</w:t>
            </w:r>
          </w:p>
        </w:tc>
        <w:tc>
          <w:tcPr>
            <w:tcW w:type="pct" w:w="6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8A00"/>
                <w:sz w:val="18"/>
                <w:szCs w:val="18"/>
              </w:rPr>
              <w:t xml:space="preserve">Medium</w:t>
            </w:r>
          </w:p>
        </w:tc>
        <w:tc>
          <w:tcPr>
            <w:tcW w:type="pct" w:w="2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 variants — image/content carousels</w:t>
            </w:r>
          </w:p>
        </w:tc>
        <w:tc>
          <w:tcPr>
            <w:tcW w:type="pct" w:w="13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 (Carousel)</w:t>
            </w:r>
          </w:p>
        </w:tc>
        <w:tc>
          <w:tcPr>
            <w:tcW w:type="pct" w:w="9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16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Static</w:t>
            </w:r>
          </w:p>
        </w:tc>
        <w:tc>
          <w:tcPr>
            <w:tcW w:type="pct" w:w="9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</w:t>
            </w:r>
          </w:p>
        </w:tc>
      </w:tr>
      <w:tr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Video</w:t>
            </w:r>
          </w:p>
        </w:tc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8A00"/>
                <w:sz w:val="18"/>
                <w:szCs w:val="18"/>
              </w:rPr>
              <w:t xml:space="preserve">Medium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Inline HTML5 video player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 (Embed)</w:t>
            </w:r>
          </w:p>
        </w:tc>
        <w:tc>
          <w:tcPr>
            <w:tcW w:type="pct" w:w="9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Static, lazy</w:t>
            </w:r>
          </w:p>
        </w:tc>
        <w:tc>
          <w:tcPr>
            <w:tcW w:type="pct" w:w="9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</w:t>
            </w:r>
          </w:p>
        </w:tc>
      </w:tr>
      <w:tr>
        <w:tc>
          <w:tcPr>
            <w:tcW w:type="pct" w:w="13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Quote / Callout</w:t>
            </w:r>
          </w:p>
        </w:tc>
        <w:tc>
          <w:tcPr>
            <w:tcW w:type="pct" w:w="6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pct" w:w="2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Pull-quote / testimonial callout</w:t>
            </w:r>
          </w:p>
        </w:tc>
        <w:tc>
          <w:tcPr>
            <w:tcW w:type="pct" w:w="13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 (Text)</w:t>
            </w:r>
          </w:p>
        </w:tc>
        <w:tc>
          <w:tcPr>
            <w:tcW w:type="pct" w:w="9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16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Static</w:t>
            </w:r>
          </w:p>
        </w:tc>
        <w:tc>
          <w:tcPr>
            <w:tcW w:type="pct" w:w="9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indication pages</w:t>
            </w:r>
          </w:p>
        </w:tc>
      </w:tr>
      <w:tr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Breadcrumbs</w:t>
            </w:r>
          </w:p>
        </w:tc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Path navigation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 (Breadcrumb)</w:t>
            </w:r>
          </w:p>
        </w:tc>
        <w:tc>
          <w:tcPr>
            <w:tcW w:type="pct" w:w="9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Static</w:t>
            </w:r>
          </w:p>
        </w:tc>
        <w:tc>
          <w:tcPr>
            <w:tcW w:type="pct" w:w="9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sub-pages</w:t>
            </w:r>
          </w:p>
        </w:tc>
      </w:tr>
      <w:tr>
        <w:tc>
          <w:tcPr>
            <w:tcW w:type="pct" w:w="13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Coveo Search / Facets</w:t>
            </w:r>
          </w:p>
        </w:tc>
        <w:tc>
          <w:tcPr>
            <w:tcW w:type="pct" w:w="6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pct" w:w="2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Hosted search page, query suggestions, faceted document results</w:t>
            </w:r>
          </w:p>
        </w:tc>
        <w:tc>
          <w:tcPr>
            <w:tcW w:type="pct" w:w="13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(custom)</w:t>
            </w:r>
          </w:p>
        </w:tc>
        <w:tc>
          <w:tcPr>
            <w:tcW w:type="pct" w:w="9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 (Coveo API)</w:t>
            </w:r>
          </w:p>
        </w:tc>
        <w:tc>
          <w:tcPr>
            <w:tcW w:type="pct" w:w="16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Edge worker for data hydration recommended</w:t>
            </w:r>
          </w:p>
        </w:tc>
        <w:tc>
          <w:tcPr>
            <w:tcW w:type="pct" w:w="9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 — Medium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https://www.botoxone.com/search-results</w:t>
            </w:r>
          </w:p>
        </w:tc>
      </w:tr>
      <w:tr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Adaptive Form (embed)</w:t>
            </w:r>
          </w:p>
        </w:tc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Sign-in/register/support forms via iframe + clientlib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(EDS Forms block)</w:t>
            </w:r>
          </w:p>
        </w:tc>
        <w:tc>
          <w:tcPr>
            <w:tcW w:type="pct" w:w="9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 (form submit + CRM)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Server-side form handling</w:t>
            </w:r>
          </w:p>
        </w:tc>
        <w:tc>
          <w:tcPr>
            <w:tcW w:type="pct" w:w="9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 — High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https://www.botoxone.com/register</w:t>
            </w:r>
          </w:p>
        </w:tc>
      </w:tr>
      <w:tr>
        <w:tc>
          <w:tcPr>
            <w:tcW w:type="pct" w:w="13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Dosing Calculator</w:t>
            </w:r>
          </w:p>
        </w:tc>
        <w:tc>
          <w:tcPr>
            <w:tcW w:type="pct" w:w="6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pct" w:w="2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ULS/LLS interactive dosing tools (gated, JS-driven)</w:t>
            </w:r>
          </w:p>
        </w:tc>
        <w:tc>
          <w:tcPr>
            <w:tcW w:type="pct" w:w="13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(custom)</w:t>
            </w:r>
          </w:p>
        </w:tc>
        <w:tc>
          <w:tcPr>
            <w:tcW w:type="pct" w:w="9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Possibly</w:t>
            </w:r>
          </w:p>
        </w:tc>
        <w:tc>
          <w:tcPr>
            <w:tcW w:type="pct" w:w="16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Edge worker / client logic</w:t>
            </w:r>
          </w:p>
        </w:tc>
        <w:tc>
          <w:tcPr>
            <w:tcW w:type="pct" w:w="9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 — High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https://www.botoxone.com/adult-spasticity/dosing/uls-calculator</w:t>
            </w:r>
          </w:p>
        </w:tc>
      </w:tr>
      <w:tr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Find-an-Injector</w:t>
            </w:r>
          </w:p>
        </w:tc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Provider locator (map + search)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(custom)</w:t>
            </w:r>
          </w:p>
        </w:tc>
        <w:tc>
          <w:tcPr>
            <w:tcW w:type="pct" w:w="9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 (locator data)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Edge worker for data</w:t>
            </w:r>
          </w:p>
        </w:tc>
        <w:tc>
          <w:tcPr>
            <w:tcW w:type="pct" w:w="9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 — Medium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https://www.botoxone.com/find-an-injector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1E5B"/>
          <w:sz w:val="30"/>
          <w:szCs w:val="30"/>
        </w:rPr>
        <w:t xml:space="preserve">4. Page Counts by Template &amp; Migration Path</w:t>
      </w:r>
    </w:p>
    <w:tbl>
      <w:tblPr>
        <w:tblW w:type="pct" w:w="100%"/>
        <w:tblBorders>
          <w:top w:val="single" w:color="C9D1E0" w:sz="4"/>
          <w:left w:val="single" w:color="C9D1E0" w:sz="4"/>
          <w:bottom w:val="single" w:color="C9D1E0" w:sz="4"/>
          <w:right w:val="single" w:color="C9D1E0" w:sz="4"/>
          <w:insideH w:val="single" w:color="C9D1E0" w:sz="2"/>
          <w:insideV w:val="single" w:color="C9D1E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pct" w:w="12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Pages</w:t>
            </w:r>
          </w:p>
        </w:tc>
        <w:tc>
          <w:tcPr>
            <w:tcW w:type="pct" w:w="54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Migration Path</w:t>
            </w:r>
          </w:p>
        </w:tc>
      </w:tr>
      <w:tr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indication-content-page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pct" w:w="5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pct" w:w="3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indication-clinical-detail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pct" w:w="5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Mostly automated (manual QA on tables/charts)</w:t>
            </w:r>
          </w:p>
        </w:tc>
      </w:tr>
      <w:tr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resources-listing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pct" w:w="5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Manual (Coveo integration)</w:t>
            </w:r>
          </w:p>
        </w:tc>
      </w:tr>
      <w:tr>
        <w:tc>
          <w:tcPr>
            <w:tcW w:type="pct" w:w="3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search-results-listing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5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Manual (Coveo integration)</w:t>
            </w:r>
          </w:p>
        </w:tc>
      </w:tr>
      <w:tr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indication-overview-c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5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pct" w:w="3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info-content-page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5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indication-overview-a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5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pct" w:w="3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indication-overview-b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5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homepage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Manual (personalization + promos)</w:t>
            </w:r>
          </w:p>
        </w:tc>
      </w:tr>
      <w:tr>
        <w:tc>
          <w:tcPr>
            <w:tcW w:type="pct" w:w="3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form-forgot-password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Manual (forms)</w:t>
            </w:r>
          </w:p>
        </w:tc>
      </w:tr>
      <w:tr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form-patient-access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Manual (forms)</w:t>
            </w:r>
          </w:p>
        </w:tc>
      </w:tr>
      <w:tr>
        <w:tc>
          <w:tcPr>
            <w:tcW w:type="pct" w:w="3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form-register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Manual (forms + auth)</w:t>
            </w:r>
          </w:p>
        </w:tc>
      </w:tr>
      <w:tr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form-request-a-rep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Manual (forms + CRM)</w:t>
            </w:r>
          </w:p>
        </w:tc>
      </w:tr>
      <w:tr>
        <w:tc>
          <w:tcPr>
            <w:tcW w:type="pct" w:w="3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form-reset-password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Manual (forms)</w:t>
            </w:r>
          </w:p>
        </w:tc>
      </w:tr>
      <w:tr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form-sign-in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Manual (forms + auth)</w:t>
            </w:r>
          </w:p>
        </w:tc>
      </w:tr>
      <w:tr>
        <w:tc>
          <w:tcPr>
            <w:tcW w:type="pct" w:w="3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find-an-injector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Manual (locator widget)</w:t>
            </w:r>
          </w:p>
        </w:tc>
      </w:tr>
      <w:tr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program-landing-maxedge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Mostly automated</w:t>
            </w:r>
          </w:p>
        </w:tc>
      </w:tr>
      <w:tr>
        <w:tc>
          <w:tcPr>
            <w:tcW w:type="pct" w:w="3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training-page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Manual (gated content)</w:t>
            </w:r>
          </w:p>
        </w:tc>
      </w:tr>
      <w:tr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support-content-page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Automated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C9D1E0" w:sz="4"/>
          <w:left w:val="single" w:color="C9D1E0" w:sz="4"/>
          <w:bottom w:val="single" w:color="C9D1E0" w:sz="4"/>
          <w:right w:val="single" w:color="C9D1E0" w:sz="4"/>
          <w:insideH w:val="single" w:color="C9D1E0" w:sz="2"/>
          <w:insideV w:val="single" w:color="C9D1E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Migration Path</w:t>
            </w:r>
          </w:p>
        </w:tc>
        <w:tc>
          <w:tcPr>
            <w:tcW w:type="pct" w:w="25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Pages</w:t>
            </w:r>
          </w:p>
        </w:tc>
        <w:tc>
          <w:tcPr>
            <w:tcW w:type="pct" w:w="25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Automated / mostly automated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83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71%</w:t>
            </w:r>
          </w:p>
        </w:tc>
      </w:tr>
      <w:tr>
        <w:tc>
          <w:tcPr>
            <w:tcW w:type="pct" w:w="5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Manual / custom</w:t>
            </w:r>
          </w:p>
        </w:tc>
        <w:tc>
          <w:tcPr>
            <w:tcW w:type="pct" w:w="25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pct" w:w="25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29%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1E5B"/>
          <w:sz w:val="30"/>
          <w:szCs w:val="30"/>
        </w:rPr>
        <w:t xml:space="preserve">5. Integrations Analysis</w:t>
      </w:r>
    </w:p>
    <w:tbl>
      <w:tblPr>
        <w:tblW w:type="pct" w:w="100%"/>
        <w:tblBorders>
          <w:top w:val="single" w:color="C9D1E0" w:sz="4"/>
          <w:left w:val="single" w:color="C9D1E0" w:sz="4"/>
          <w:bottom w:val="single" w:color="C9D1E0" w:sz="4"/>
          <w:right w:val="single" w:color="C9D1E0" w:sz="4"/>
          <w:insideH w:val="single" w:color="C9D1E0" w:sz="2"/>
          <w:insideV w:val="single" w:color="C9D1E0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Integration</w:t>
            </w:r>
          </w:p>
        </w:tc>
        <w:tc>
          <w:tcPr>
            <w:tcW w:type="pct" w:w="17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9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Cplx</w:t>
            </w:r>
          </w:p>
        </w:tc>
        <w:tc>
          <w:tcPr>
            <w:tcW w:type="pct" w:w="10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Side</w:t>
            </w:r>
          </w:p>
        </w:tc>
        <w:tc>
          <w:tcPr>
            <w:tcW w:type="pct" w:w="16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24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Where Used</w:t>
            </w:r>
          </w:p>
        </w:tc>
      </w:tr>
      <w:tr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Adobe Launch / DTM</w:t>
            </w:r>
          </w:p>
        </w:tc>
        <w:tc>
          <w:tcPr>
            <w:tcW w:type="pct" w:w="1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Embed (tag mgr)</w:t>
            </w:r>
          </w:p>
        </w:tc>
        <w:tc>
          <w:tcPr>
            <w:tcW w:type="pct" w:w="9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8A00"/>
                <w:sz w:val="18"/>
                <w:szCs w:val="18"/>
              </w:rPr>
              <w:t xml:space="preserve">Medium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Client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tcW w:type="pct" w:w="2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Adobe Analytics</w:t>
            </w:r>
          </w:p>
        </w:tc>
        <w:tc>
          <w:tcPr>
            <w:tcW w:type="pct" w:w="17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JS beacon</w:t>
            </w:r>
          </w:p>
        </w:tc>
        <w:tc>
          <w:tcPr>
            <w:tcW w:type="pct" w:w="9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8A00"/>
                <w:sz w:val="18"/>
                <w:szCs w:val="18"/>
              </w:rPr>
              <w:t xml:space="preserve">Medium</w:t>
            </w:r>
          </w:p>
        </w:tc>
        <w:tc>
          <w:tcPr>
            <w:tcW w:type="pct" w:w="1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Client</w:t>
            </w:r>
          </w:p>
        </w:tc>
        <w:tc>
          <w:tcPr>
            <w:tcW w:type="pct" w:w="16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pct" w:w="2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Adobe Target</w:t>
            </w:r>
          </w:p>
        </w:tc>
        <w:tc>
          <w:tcPr>
            <w:tcW w:type="pct" w:w="1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JS / API</w:t>
            </w:r>
          </w:p>
        </w:tc>
        <w:tc>
          <w:tcPr>
            <w:tcW w:type="pct" w:w="9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Client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Homepage, indication pages</w:t>
            </w:r>
          </w:p>
        </w:tc>
      </w:tr>
      <w:tr>
        <w:tc>
          <w:tcPr>
            <w:tcW w:type="pct" w:w="2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Adobe Audience Manager (demdex)</w:t>
            </w:r>
          </w:p>
        </w:tc>
        <w:tc>
          <w:tcPr>
            <w:tcW w:type="pct" w:w="17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JS beacon</w:t>
            </w:r>
          </w:p>
        </w:tc>
        <w:tc>
          <w:tcPr>
            <w:tcW w:type="pct" w:w="9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8A00"/>
                <w:sz w:val="18"/>
                <w:szCs w:val="18"/>
              </w:rPr>
              <w:t xml:space="preserve">Medium</w:t>
            </w:r>
          </w:p>
        </w:tc>
        <w:tc>
          <w:tcPr>
            <w:tcW w:type="pct" w:w="1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Client</w:t>
            </w:r>
          </w:p>
        </w:tc>
        <w:tc>
          <w:tcPr>
            <w:tcW w:type="pct" w:w="16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pct" w:w="2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Coveo Search</w:t>
            </w:r>
          </w:p>
        </w:tc>
        <w:tc>
          <w:tcPr>
            <w:tcW w:type="pct" w:w="1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API + JS</w:t>
            </w:r>
          </w:p>
        </w:tc>
        <w:tc>
          <w:tcPr>
            <w:tcW w:type="pct" w:w="9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search-results, */resources, practice-resources</w:t>
            </w:r>
          </w:p>
        </w:tc>
      </w:tr>
      <w:tr>
        <w:tc>
          <w:tcPr>
            <w:tcW w:type="pct" w:w="2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AEM Adaptive Forms</w:t>
            </w:r>
          </w:p>
        </w:tc>
        <w:tc>
          <w:tcPr>
            <w:tcW w:type="pct" w:w="17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Embed (iframe) + server</w:t>
            </w:r>
          </w:p>
        </w:tc>
        <w:tc>
          <w:tcPr>
            <w:tcW w:type="pct" w:w="9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pct" w:w="1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  <w:tc>
          <w:tcPr>
            <w:tcW w:type="pct" w:w="16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pct" w:w="2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 form pages</w:t>
            </w:r>
          </w:p>
        </w:tc>
      </w:tr>
      <w:tr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Google reCAPTCHA</w:t>
            </w:r>
          </w:p>
        </w:tc>
        <w:tc>
          <w:tcPr>
            <w:tcW w:type="pct" w:w="1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Embed</w:t>
            </w:r>
          </w:p>
        </w:tc>
        <w:tc>
          <w:tcPr>
            <w:tcW w:type="pct" w:w="9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Client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register, request-a-rep</w:t>
            </w:r>
          </w:p>
        </w:tc>
      </w:tr>
      <w:tr>
        <w:tc>
          <w:tcPr>
            <w:tcW w:type="pct" w:w="2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Adobe Fonts (Typekit)</w:t>
            </w:r>
          </w:p>
        </w:tc>
        <w:tc>
          <w:tcPr>
            <w:tcW w:type="pct" w:w="17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Embed</w:t>
            </w:r>
          </w:p>
        </w:tc>
        <w:tc>
          <w:tcPr>
            <w:tcW w:type="pct" w:w="9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pct" w:w="1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Client</w:t>
            </w:r>
          </w:p>
        </w:tc>
        <w:tc>
          <w:tcPr>
            <w:tcW w:type="pct" w:w="16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pct" w:w="2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AEM Edge RUM (hlx)</w:t>
            </w:r>
          </w:p>
        </w:tc>
        <w:tc>
          <w:tcPr>
            <w:tcW w:type="pct" w:w="1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JS beacon</w:t>
            </w:r>
          </w:p>
        </w:tc>
        <w:tc>
          <w:tcPr>
            <w:tcW w:type="pct" w:w="9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Client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tcW w:type="pct" w:w="2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Salesforce (my.site.com)</w:t>
            </w:r>
          </w:p>
        </w:tc>
        <w:tc>
          <w:tcPr>
            <w:tcW w:type="pct" w:w="17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Link / API</w:t>
            </w:r>
          </w:p>
        </w:tc>
        <w:tc>
          <w:tcPr>
            <w:tcW w:type="pct" w:w="9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8A00"/>
                <w:sz w:val="18"/>
                <w:szCs w:val="18"/>
              </w:rPr>
              <w:t xml:space="preserve">Medium</w:t>
            </w:r>
          </w:p>
        </w:tc>
        <w:tc>
          <w:tcPr>
            <w:tcW w:type="pct" w:w="1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Server</w:t>
            </w:r>
          </w:p>
        </w:tc>
        <w:tc>
          <w:tcPr>
            <w:tcW w:type="pct" w:w="16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Active (likely)</w:t>
            </w:r>
          </w:p>
        </w:tc>
        <w:tc>
          <w:tcPr>
            <w:tcW w:type="pct" w:w="2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Account / metadata</w:t>
            </w:r>
          </w:p>
        </w:tc>
      </w:tr>
      <w:tr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Allergan Direct (ordering)</w:t>
            </w:r>
          </w:p>
        </w:tc>
        <w:tc>
          <w:tcPr>
            <w:tcW w:type="pct" w:w="1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External link</w:t>
            </w:r>
          </w:p>
        </w:tc>
        <w:tc>
          <w:tcPr>
            <w:tcW w:type="pct" w:w="9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Client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Savings/ordering CTAs</w:t>
            </w:r>
          </w:p>
        </w:tc>
      </w:tr>
      <w:tr>
        <w:tc>
          <w:tcPr>
            <w:tcW w:type="pct" w:w="2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Social (FB/LI/IG/Pinterest/Tumblr/Twitter)</w:t>
            </w:r>
          </w:p>
        </w:tc>
        <w:tc>
          <w:tcPr>
            <w:tcW w:type="pct" w:w="17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Link</w:t>
            </w:r>
          </w:p>
        </w:tc>
        <w:tc>
          <w:tcPr>
            <w:tcW w:type="pct" w:w="9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pct" w:w="1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Client</w:t>
            </w:r>
          </w:p>
        </w:tc>
        <w:tc>
          <w:tcPr>
            <w:tcW w:type="pct" w:w="16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Legacy (some dormant)</w:t>
            </w:r>
          </w:p>
        </w:tc>
        <w:tc>
          <w:tcPr>
            <w:tcW w:type="pct" w:w="2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Footer</w:t>
            </w:r>
          </w:p>
        </w:tc>
      </w:tr>
      <w:tr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BOTOX savings / abbv.ie short links</w:t>
            </w:r>
          </w:p>
        </w:tc>
        <w:tc>
          <w:tcPr>
            <w:tcW w:type="pct" w:w="17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External link</w:t>
            </w:r>
          </w:p>
        </w:tc>
        <w:tc>
          <w:tcPr>
            <w:tcW w:type="pct" w:w="9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Client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Promos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1E5B"/>
          <w:sz w:val="30"/>
          <w:szCs w:val="30"/>
        </w:rPr>
        <w:t xml:space="preserve">6. Forms Analysis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web forms are implemented as AEM Adaptive Forms, embedded through a "forms-embed" clientlib that lazily injects an iframe (aemform.iframe.en.html). Seven form-bearing pages were identified. Direct fetches of the form iframes returned empty/401, confirming they render only in an authenticated browser context behind the HCP gate.</w:t>
      </w:r>
    </w:p>
    <w:tbl>
      <w:tblPr>
        <w:tblW w:type="pct" w:w="100%"/>
        <w:tblBorders>
          <w:top w:val="single" w:color="C9D1E0" w:sz="4"/>
          <w:left w:val="single" w:color="C9D1E0" w:sz="4"/>
          <w:bottom w:val="single" w:color="C9D1E0" w:sz="4"/>
          <w:right w:val="single" w:color="C9D1E0" w:sz="4"/>
          <w:insideH w:val="single" w:color="C9D1E0" w:sz="2"/>
          <w:insideV w:val="single" w:color="C9D1E0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 Group</w:t>
            </w:r>
          </w:p>
        </w:tc>
        <w:tc>
          <w:tcPr>
            <w:tcW w:type="pct" w:w="30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Sample URL</w:t>
            </w:r>
          </w:p>
        </w:tc>
        <w:tc>
          <w:tcPr>
            <w:tcW w:type="pct" w:w="26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  <w:tc>
          <w:tcPr>
            <w:tcW w:type="pct" w:w="12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pct" w:w="12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Backend Needed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Authentication (sign-in)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https://www.botoxone.com/sign-in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Email + password, session/JWT, auth gate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Complex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 — identity/SSO</w:t>
            </w:r>
          </w:p>
        </w:tc>
      </w:tr>
      <w:tr>
        <w:tc>
          <w:tcPr>
            <w:tcW w:type="pct" w:w="2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Registration</w:t>
            </w:r>
          </w:p>
        </w:tc>
        <w:tc>
          <w:tcPr>
            <w:tcW w:type="pct" w:w="3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https://www.botoxone.com/register</w:t>
            </w:r>
          </w:p>
        </w:tc>
        <w:tc>
          <w:tcPr>
            <w:tcW w:type="pct" w:w="26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Multi-field, validation, reCAPTCHA, CRM write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Complex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 — CRM/identity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Password recovery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https://www.botoxone.com/forgot-password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Single field + email token flow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8A00"/>
                <w:sz w:val="18"/>
                <w:szCs w:val="18"/>
              </w:rPr>
              <w:t xml:space="preserve">Medium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 — identity</w:t>
            </w:r>
          </w:p>
        </w:tc>
      </w:tr>
      <w:tr>
        <w:tc>
          <w:tcPr>
            <w:tcW w:type="pct" w:w="2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Password reset</w:t>
            </w:r>
          </w:p>
        </w:tc>
        <w:tc>
          <w:tcPr>
            <w:tcW w:type="pct" w:w="3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https://www.botoxone.com/reset-password</w:t>
            </w:r>
          </w:p>
        </w:tc>
        <w:tc>
          <w:tcPr>
            <w:tcW w:type="pct" w:w="26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Token-validated reset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8A00"/>
                <w:sz w:val="18"/>
                <w:szCs w:val="18"/>
              </w:rPr>
              <w:t xml:space="preserve">Medium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 — identity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Request a Rep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https://www.botoxone.com/request-a-rep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Lead capture, routing to sales/CRM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Complex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 — CRM routing</w:t>
            </w:r>
          </w:p>
        </w:tc>
      </w:tr>
      <w:tr>
        <w:tc>
          <w:tcPr>
            <w:tcW w:type="pct" w:w="2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Patient Access &amp; Support</w:t>
            </w:r>
          </w:p>
        </w:tc>
        <w:tc>
          <w:tcPr>
            <w:tcW w:type="pct" w:w="3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https://www.botoxone.com/patient-access-and-support</w:t>
            </w:r>
          </w:p>
        </w:tc>
        <w:tc>
          <w:tcPr>
            <w:tcW w:type="pct" w:w="26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Support request workflow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Complex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 — workflow/CRM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Manage Account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https://www.botoxone.com/manage-account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Profile edit (authenticated)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Complex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 — identity/profile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</w:rPr>
        <w:t xml:space="preserve">Total: 7 forms across 3 functional groups (authentication, lead-capture, support). All require backend service integration; none are simple client-only contact forms. In EDS these become Forms-block implementations wired to the identity provider and CRM — the single largest manual workstream after content.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1E5B"/>
          <w:sz w:val="30"/>
          <w:szCs w:val="30"/>
        </w:rPr>
        <w:t xml:space="preserve">7. Offers &amp; Personalization Analysis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presence of Adobe Target (abbviecommercial.tt.omtrdc.net) and Audience Manager (demdex) confirms an active personalization layer. Personalization is delivered client-side via Target mboxes/Launch rather than server-side, so individual offer content is not enumerable from static HTML. Below is the assessed structure.</w:t>
      </w:r>
    </w:p>
    <w:tbl>
      <w:tblPr>
        <w:tblW w:type="pct" w:w="100%"/>
        <w:tblBorders>
          <w:top w:val="single" w:color="C9D1E0" w:sz="4"/>
          <w:left w:val="single" w:color="C9D1E0" w:sz="4"/>
          <w:bottom w:val="single" w:color="C9D1E0" w:sz="4"/>
          <w:right w:val="single" w:color="C9D1E0" w:sz="4"/>
          <w:insideH w:val="single" w:color="C9D1E0" w:sz="2"/>
          <w:insideV w:val="single" w:color="C9D1E0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Offer / Personalization Type</w:t>
            </w:r>
          </w:p>
        </w:tc>
        <w:tc>
          <w:tcPr>
            <w:tcW w:type="pct" w:w="26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Sample Location</w:t>
            </w:r>
          </w:p>
        </w:tc>
        <w:tc>
          <w:tcPr>
            <w:tcW w:type="pct" w:w="22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  <w:tc>
          <w:tcPr>
            <w:tcW w:type="pct" w:w="12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pct" w:w="12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Backend Needed</w:t>
            </w:r>
          </w:p>
        </w:tc>
      </w:tr>
      <w:tr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Homepage hero / promo personalization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https://www.botoxone.com/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Target-driven hero &amp; promo swaps by audience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Complex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 — Adobe Target</w:t>
            </w:r>
          </w:p>
        </w:tc>
      </w:tr>
      <w:tr>
        <w:tc>
          <w:tcPr>
            <w:tcW w:type="pct" w:w="28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Indication-level audience targeting</w:t>
            </w:r>
          </w:p>
        </w:tc>
        <w:tc>
          <w:tcPr>
            <w:tcW w:type="pct" w:w="26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indication landing pages</w:t>
            </w:r>
          </w:p>
        </w:tc>
        <w:tc>
          <w:tcPr>
            <w:tcW w:type="pct" w:w="2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Audience-Manager segment-based content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8A00"/>
                <w:sz w:val="18"/>
                <w:szCs w:val="18"/>
              </w:rPr>
              <w:t xml:space="preserve">Medium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 — AAM/Target</w:t>
            </w:r>
          </w:p>
        </w:tc>
      </w:tr>
      <w:tr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Savings / program offers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OAB, migraine promos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CTA / banner offers to savings programs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8A00"/>
                <w:sz w:val="18"/>
                <w:szCs w:val="18"/>
              </w:rPr>
              <w:t xml:space="preserve">Medium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 — Target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5A6472"/>
        </w:rPr>
        <w:t xml:space="preserve">Estimate: a handful of Target activities (likely 3–10) drive hero/promo personalization. These need re-implementation against Target in the EDS context (client-side decisioning is preserved; ensure Launch/Target are re-wired). Exact activity count requires access to the Adobe Target workspace — recommend a discovery session with the marketing team.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1E5B"/>
          <w:sz w:val="30"/>
          <w:szCs w:val="30"/>
        </w:rPr>
        <w:t xml:space="preserve">8. Complex Use Cases &amp; Observations</w:t>
      </w:r>
    </w:p>
    <w:tbl>
      <w:tblPr>
        <w:tblW w:type="pct" w:w="100%"/>
        <w:tblBorders>
          <w:top w:val="single" w:color="C9D1E0" w:sz="4"/>
          <w:left w:val="single" w:color="C9D1E0" w:sz="4"/>
          <w:bottom w:val="single" w:color="C9D1E0" w:sz="4"/>
          <w:right w:val="single" w:color="C9D1E0" w:sz="4"/>
          <w:insideH w:val="single" w:color="C9D1E0" w:sz="2"/>
          <w:insideV w:val="single" w:color="C9D1E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pct" w:w="12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Instances</w:t>
            </w:r>
          </w:p>
        </w:tc>
        <w:tc>
          <w:tcPr>
            <w:tcW w:type="pct" w:w="26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pct" w:w="40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Complex</w:t>
            </w:r>
          </w:p>
        </w:tc>
      </w:tr>
      <w:tr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HCP authentication gate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 (site-wide)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gated content, calculators, account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Session/identity dependency; 401 on direct access; gating logic must be reproduced</w:t>
            </w:r>
          </w:p>
        </w:tc>
      </w:tr>
      <w:tr>
        <w:tc>
          <w:tcPr>
            <w:tcW w:type="pct" w:w="2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Adaptive Forms + CRM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26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 &amp; lead forms</w:t>
            </w:r>
          </w:p>
        </w:tc>
        <w:tc>
          <w:tcPr>
            <w:tcW w:type="pct" w:w="4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Stateful, server-validated, CRM/identity backends, reCAPTCHA</w:t>
            </w:r>
          </w:p>
        </w:tc>
      </w:tr>
      <w:tr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Coveo faceted search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~25 pages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Resources &amp; search listings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Client-side API rendering, query params, facets, document collections</w:t>
            </w:r>
          </w:p>
        </w:tc>
      </w:tr>
      <w:tr>
        <w:tc>
          <w:tcPr>
            <w:tcW w:type="pct" w:w="2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Dosing calculators (ULS/LLS)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26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Adult spasticity dosing</w:t>
            </w:r>
          </w:p>
        </w:tc>
        <w:tc>
          <w:tcPr>
            <w:tcW w:type="pct" w:w="4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Interactive JS logic, gated, clinical calculation rules</w:t>
            </w:r>
          </w:p>
        </w:tc>
      </w:tr>
      <w:tr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Personalization (Target/AAM)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3–10 activities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Homepage, indications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Audience-based content swaps not visible in static HTML</w:t>
            </w:r>
          </w:p>
        </w:tc>
      </w:tr>
      <w:tr>
        <w:tc>
          <w:tcPr>
            <w:tcW w:type="pct" w:w="2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Persistent ISI / regulatory tray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 (all pages)</w:t>
            </w:r>
          </w:p>
        </w:tc>
        <w:tc>
          <w:tcPr>
            <w:tcW w:type="pct" w:w="26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Footer tray</w:t>
            </w:r>
          </w:p>
        </w:tc>
        <w:tc>
          <w:tcPr>
            <w:tcW w:type="pct" w:w="4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Sticky, expandable, compliance-critical content that must render identically</w:t>
            </w:r>
          </w:p>
        </w:tc>
      </w:tr>
      <w:tr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Find-an-Injector locator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/find-an-injector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Map + provider data source, geo-search</w:t>
            </w:r>
          </w:p>
        </w:tc>
      </w:tr>
      <w:tr>
        <w:tc>
          <w:tcPr>
            <w:tcW w:type="pct" w:w="2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Indication color theming</w:t>
            </w:r>
          </w:p>
        </w:tc>
        <w:tc>
          <w:tcPr>
            <w:tcW w:type="pct" w:w="1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 indications</w:t>
            </w:r>
          </w:p>
        </w:tc>
        <w:tc>
          <w:tcPr>
            <w:tcW w:type="pct" w:w="26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indication pages</w:t>
            </w:r>
          </w:p>
        </w:tc>
        <w:tc>
          <w:tcPr>
            <w:tcW w:type="pct" w:w="4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Each therapeutic area has distinct theme tokens applied to shared blocks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1E5B"/>
          <w:sz w:val="30"/>
          <w:szCs w:val="30"/>
        </w:rPr>
        <w:t xml:space="preserve">9. Outlier Scenarios (non-standard implementations)</w:t>
      </w:r>
    </w:p>
    <w:tbl>
      <w:tblPr>
        <w:tblW w:type="pct" w:w="100%"/>
        <w:tblBorders>
          <w:top w:val="single" w:color="C9D1E0" w:sz="4"/>
          <w:left w:val="single" w:color="C9D1E0" w:sz="4"/>
          <w:bottom w:val="single" w:color="C9D1E0" w:sz="4"/>
          <w:right w:val="single" w:color="C9D1E0" w:sz="4"/>
          <w:insideH w:val="single" w:color="C9D1E0" w:sz="2"/>
          <w:insideV w:val="single" w:color="C9D1E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pct" w:w="38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Behaviour / Implementation</w:t>
            </w:r>
          </w:p>
        </w:tc>
        <w:tc>
          <w:tcPr>
            <w:tcW w:type="pct" w:w="30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EDS Approach</w:t>
            </w:r>
          </w:p>
        </w:tc>
        <w:tc>
          <w:tcPr>
            <w:tcW w:type="pct" w:w="14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Form-as-iframe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Forms rendered via aemform.iframe.en.html injected by a clientlib — a full HTML document loaded into an iframe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Rebuild as native EDS Forms block; drop iframe pattern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40–60 h</w:t>
            </w:r>
          </w:p>
        </w:tc>
      </w:tr>
      <w:tr>
        <w:tc>
          <w:tcPr>
            <w:tcW w:type="pct" w:w="18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Coveo client-rendered listings</w:t>
            </w:r>
          </w:p>
        </w:tc>
        <w:tc>
          <w:tcPr>
            <w:tcW w:type="pct" w:w="38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Resource/search pages return a shell; results hydrated from Coveo API with query-param state (q=, sp_c=, collection=)</w:t>
            </w:r>
          </w:p>
        </w:tc>
        <w:tc>
          <w:tcPr>
            <w:tcW w:type="pct" w:w="3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EDS block + edge worker / client fetch to Coveo; preserve deep-link params</w:t>
            </w:r>
          </w:p>
        </w:tc>
        <w:tc>
          <w:tcPr>
            <w:tcW w:type="pct" w:w="1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30–50 h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Gated dosing calculators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Interactive calculators behind 401 auth; clinical JS logic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 EDS block + auth integration; port calculation logic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24–40 h</w:t>
            </w:r>
          </w:p>
        </w:tc>
      </w:tr>
      <w:tr>
        <w:tc>
          <w:tcPr>
            <w:tcW w:type="pct" w:w="18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Legacy clientlib design system</w:t>
            </w:r>
          </w:p>
        </w:tc>
        <w:tc>
          <w:tcPr>
            <w:tcW w:type="pct" w:w="38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Single monolithic minified CSS/JS clientlib (jQuery-era)</w:t>
            </w:r>
          </w:p>
        </w:tc>
        <w:tc>
          <w:tcPr>
            <w:tcW w:type="pct" w:w="3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Re-implement as scoped EDS block CSS; no jQuery</w:t>
            </w:r>
          </w:p>
        </w:tc>
        <w:tc>
          <w:tcPr>
            <w:tcW w:type="pct" w:w="14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Folded into block dev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Sitemap pollution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Sitemap exposes internal /content/*.html + typo paths that 404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Clean sitemap; build 301 redirect map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4–8 h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1E5B"/>
          <w:sz w:val="30"/>
          <w:szCs w:val="30"/>
        </w:rPr>
        <w:t xml:space="preserve">10. Migration Estimates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Estimates assume migration to AEM as a Cloud Service with Edge Delivery Services and ALM (Adobe Lifecycle Management) integration, a 3–4 person team, and reuse of the automated catalog/import tooling for templated content.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52B1E"/>
          <w:sz w:val="24"/>
          <w:szCs w:val="24"/>
        </w:rPr>
        <w:t xml:space="preserve">10.1 Effort Breakdown</w:t>
      </w:r>
    </w:p>
    <w:tbl>
      <w:tblPr>
        <w:tblW w:type="pct" w:w="100%"/>
        <w:tblBorders>
          <w:top w:val="single" w:color="C9D1E0" w:sz="4"/>
          <w:left w:val="single" w:color="C9D1E0" w:sz="4"/>
          <w:bottom w:val="single" w:color="C9D1E0" w:sz="4"/>
          <w:right w:val="single" w:color="C9D1E0" w:sz="4"/>
          <w:insideH w:val="single" w:color="C9D1E0" w:sz="2"/>
          <w:insideV w:val="single" w:color="C9D1E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Workstream</w:t>
            </w:r>
          </w:p>
        </w:tc>
        <w:tc>
          <w:tcPr>
            <w:tcW w:type="pct" w:w="50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pct" w:w="22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 (hours)</w:t>
            </w:r>
          </w:p>
        </w:tc>
      </w:tr>
      <w:tr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Automated content migration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~80 templated indication/content/overview pages via import tooling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60–80</w:t>
            </w:r>
          </w:p>
        </w:tc>
      </w:tr>
      <w:tr>
        <w:tc>
          <w:tcPr>
            <w:tcW w:type="pct" w:w="28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Block / component development</w:t>
            </w:r>
          </w:p>
        </w:tc>
        <w:tc>
          <w:tcPr>
            <w:tcW w:type="pct" w:w="5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~13 base blocks + variants (hero, columns, cards, tabs, accordion, carousel, video, ISI, etc.)</w:t>
            </w:r>
          </w:p>
        </w:tc>
        <w:tc>
          <w:tcPr>
            <w:tcW w:type="pct" w:w="2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90–110</w:t>
            </w:r>
          </w:p>
        </w:tc>
      </w:tr>
      <w:tr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Forms re-platforming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 Adaptive Forms → EDS Forms + identity/CRM wiring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70–90</w:t>
            </w:r>
          </w:p>
        </w:tc>
      </w:tr>
      <w:tr>
        <w:tc>
          <w:tcPr>
            <w:tcW w:type="pct" w:w="28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 (Coveo) integration</w:t>
            </w:r>
          </w:p>
        </w:tc>
        <w:tc>
          <w:tcPr>
            <w:tcW w:type="pct" w:w="5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 + faceted resource listings, edge worker / client hydration</w:t>
            </w:r>
          </w:p>
        </w:tc>
        <w:tc>
          <w:tcPr>
            <w:tcW w:type="pct" w:w="2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40–55</w:t>
            </w:r>
          </w:p>
        </w:tc>
      </w:tr>
      <w:tr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Personalization (Target/AAM)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Re-wire Launch/Target/AAM; rebuild 3–10 activities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24–36</w:t>
            </w:r>
          </w:p>
        </w:tc>
      </w:tr>
      <w:tr>
        <w:tc>
          <w:tcPr>
            <w:tcW w:type="pct" w:w="28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Interactive tools</w:t>
            </w:r>
          </w:p>
        </w:tc>
        <w:tc>
          <w:tcPr>
            <w:tcW w:type="pct" w:w="5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ULS/LLS calculators + find-an-injector</w:t>
            </w:r>
          </w:p>
        </w:tc>
        <w:tc>
          <w:tcPr>
            <w:tcW w:type="pct" w:w="2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40–60</w:t>
            </w:r>
          </w:p>
        </w:tc>
      </w:tr>
      <w:tr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 gate &amp; account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HCP gating + manage-account integration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30–45</w:t>
            </w:r>
          </w:p>
        </w:tc>
      </w:tr>
      <w:tr>
        <w:tc>
          <w:tcPr>
            <w:tcW w:type="pct" w:w="28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Assets migration</w:t>
            </w:r>
          </w:p>
        </w:tc>
        <w:tc>
          <w:tcPr>
            <w:tcW w:type="pct" w:w="5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30 PDFs + ~300–500 images to DAM, redirect map</w:t>
            </w:r>
          </w:p>
        </w:tc>
        <w:tc>
          <w:tcPr>
            <w:tcW w:type="pct" w:w="2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16–24</w:t>
            </w:r>
          </w:p>
        </w:tc>
      </w:tr>
      <w:tr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QA &amp; functional testing</w:t>
            </w:r>
          </w:p>
        </w:tc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Cross-template, forms, search, gated flows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40–55</w:t>
            </w:r>
          </w:p>
        </w:tc>
      </w:tr>
      <w:tr>
        <w:tc>
          <w:tcPr>
            <w:tcW w:type="pct" w:w="28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UAT, accessibility &amp; launch</w:t>
            </w:r>
          </w:p>
        </w:tc>
        <w:tc>
          <w:tcPr>
            <w:tcW w:type="pct" w:w="5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WCAG 2.1 AA, regulatory ISI verification, go-live</w:t>
            </w:r>
          </w:p>
        </w:tc>
        <w:tc>
          <w:tcPr>
            <w:tcW w:type="pct" w:w="2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24–32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C9D1E0" w:sz="4"/>
          <w:left w:val="single" w:color="C9D1E0" w:sz="4"/>
          <w:bottom w:val="single" w:color="C9D1E0" w:sz="4"/>
          <w:right w:val="single" w:color="C9D1E0" w:sz="4"/>
          <w:insideH w:val="single" w:color="C9D1E0" w:sz="2"/>
          <w:insideV w:val="single" w:color="C9D1E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  <w:tc>
          <w:tcPr>
            <w:tcW w:type="pct" w:w="25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Low (h)</w:t>
            </w:r>
          </w:p>
        </w:tc>
        <w:tc>
          <w:tcPr>
            <w:tcW w:type="pct" w:w="25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 (h)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Automated migration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pct" w:w="5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Manual / custom development</w:t>
            </w:r>
          </w:p>
        </w:tc>
        <w:tc>
          <w:tcPr>
            <w:tcW w:type="pct" w:w="25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294</w:t>
            </w:r>
          </w:p>
        </w:tc>
        <w:tc>
          <w:tcPr>
            <w:tcW w:type="pct" w:w="25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396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QA &amp; testing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55</w:t>
            </w:r>
          </w:p>
        </w:tc>
      </w:tr>
      <w:tr>
        <w:tc>
          <w:tcPr>
            <w:tcW w:type="pct" w:w="50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UAT &amp; launch</w:t>
            </w:r>
          </w:p>
        </w:tc>
        <w:tc>
          <w:tcPr>
            <w:tcW w:type="pct" w:w="25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pct" w:w="25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pct" w:w="5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 (person-hours)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~418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~563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52B1E"/>
          <w:sz w:val="24"/>
          <w:szCs w:val="24"/>
        </w:rPr>
        <w:t xml:space="preserve">10.2 Schedule &amp; Cost</w:t>
      </w:r>
    </w:p>
    <w:tbl>
      <w:tblPr>
        <w:tblW w:type="pct" w:w="100%"/>
        <w:tblBorders>
          <w:top w:val="single" w:color="C9D1E0" w:sz="4"/>
          <w:left w:val="single" w:color="C9D1E0" w:sz="4"/>
          <w:bottom w:val="single" w:color="C9D1E0" w:sz="4"/>
          <w:right w:val="single" w:color="C9D1E0" w:sz="4"/>
          <w:insideH w:val="single" w:color="C9D1E0" w:sz="2"/>
          <w:insideV w:val="single" w:color="C9D1E0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pct" w:w="62%"/>
            <w:shd w:fill="0F1E5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Estimate</w:t>
            </w:r>
          </w:p>
        </w:tc>
      </w:tr>
      <w:tr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 effort</w:t>
            </w:r>
          </w:p>
        </w:tc>
        <w:tc>
          <w:tcPr>
            <w:tcW w:type="pct" w:w="6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~420–565 person-hours</w:t>
            </w:r>
          </w:p>
        </w:tc>
      </w:tr>
      <w:tr>
        <w:tc>
          <w:tcPr>
            <w:tcW w:type="pct" w:w="38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Team size</w:t>
            </w:r>
          </w:p>
        </w:tc>
        <w:tc>
          <w:tcPr>
            <w:tcW w:type="pct" w:w="6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3–4 (1 lead/architect, 2 EDS devs, 1 QA; part-time integration specialist)</w:t>
            </w:r>
          </w:p>
        </w:tc>
      </w:tr>
      <w:tr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Calendar duration</w:t>
            </w:r>
          </w:p>
        </w:tc>
        <w:tc>
          <w:tcPr>
            <w:tcW w:type="pct" w:w="6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~10–12 weeks</w:t>
            </w:r>
          </w:p>
        </w:tc>
      </w:tr>
      <w:tr>
        <w:tc>
          <w:tcPr>
            <w:tcW w:type="pct" w:w="38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Indicative cost (blended $120/h)</w:t>
            </w:r>
          </w:p>
        </w:tc>
        <w:tc>
          <w:tcPr>
            <w:tcW w:type="pct" w:w="62%"/>
            <w:shd w:fill="F2F4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~$50K–$68K (engineering only; excludes licensing, Adobe Target/Coveo re-contracting, content authoring)</w:t>
            </w:r>
          </w:p>
        </w:tc>
      </w:tr>
      <w:tr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Confidence</w:t>
            </w:r>
          </w:p>
        </w:tc>
        <w:tc>
          <w:tcPr>
            <w:tcW w:type="pct" w:w="6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 — forms/auth, Coveo, and Target activity counts need stakeholder discovery to firm up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52B1E"/>
          <w:sz w:val="24"/>
          <w:szCs w:val="24"/>
        </w:rPr>
        <w:t xml:space="preserve">10.3 Key Assumptions &amp; Risks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Gated content (calculators, account, some forms) requires credentialed access for full fidelity analysis — estimates carry contingency.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Adobe Target activity count and Coveo configuration require workspace access to confirm exact scope.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Regulatory/ISI content is compliance-critical; pixel-and-text-accurate reproduction and MLR sign-off may extend UAT.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External integrations (Allergan Direct, Salesforce, savings programs) assumed to remain external links, not re-platformed.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The 10-indication content set is highly repetitive — the dominant driver of automation savings; if indications diverge in structure, automated share drops.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1E5B"/>
          <w:sz w:val="30"/>
          <w:szCs w:val="30"/>
        </w:rPr>
        <w:t xml:space="preserve">Appendix A: URLs Analysed by Template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52B1E"/>
          <w:sz w:val="24"/>
          <w:szCs w:val="24"/>
        </w:rPr>
        <w:t xml:space="preserve">indication-content-page (38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https://www.botoxone.com/adult-ndo/dosing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https://www.botoxone.com/adult-ndo/efficacy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https://www.botoxone.com/adult-ndo/patient-id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https://www.botoxone.com/adult-ndo/safety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https://www.botoxone.com/adult-spasticity/dosing/lls-calculator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https://www.botoxone.com/adult-spasticity/dosing/uls-calculator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https://www.botoxone.com/badges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https://www.botoxone.com/blepharospasm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https://www.botoxone.com/blepharospasm/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https://www.botoxone.com/cervical-dystonia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https://www.botoxone.com/cervical-dystonia/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https://www.botoxone.com/chronic-migraine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https://www.botoxone.com/chronic-migraine/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https://www.botoxone.com/chronic-migraine/cm-additional-data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https://www.botoxone.com/chronic-migraine/dosing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https://www.botoxone.com/chronic-migraine/efficacy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https://www.botoxone.com/chronic-migraine/patient-id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https://www.botoxone.com/chronic-migraine/resources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https://www.botoxone.com/chronic-migraine/resources?q=chronic%20migraine&amp;collection=ce_documents&amp;sp_c=5&amp;page=1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https://www.botoxone.com/chronic-migraine/resources?q=chronic%20migraine&amp;sp_c=5&amp;page=1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A6472"/>
        </w:rPr>
        <w:t xml:space="preserve">… and 18 more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52B1E"/>
          <w:sz w:val="24"/>
          <w:szCs w:val="24"/>
        </w:rPr>
        <w:t xml:space="preserve">indication-clinical-detail (32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https://www.botoxone.com/adult-spasticity/dosing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https://www.botoxone.com/adult-spasticity/efficacy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https://www.botoxone.com/adult-spasticity/patient-id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https://www.botoxone.com/adult-spasticity/safety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https://www.botoxone.com/blepharospasm/dosing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https://www.botoxone.com/blepharospasm/efficacy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https://www.botoxone.com/blepharospasm/patient-id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https://www.botoxone.com/blepharospasm/safety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https://www.botoxone.com/cervical-dystonia/dosing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https://www.botoxone.com/cervical-dystonia/efficacy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https://www.botoxone.com/cervical-dystonia/patient-id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https://www.botoxone.com/cervical-dystonia/safety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https://www.botoxone.com/hyperhidrosis/dosing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https://www.botoxone.com/hyperhidrosis/efficacy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https://www.botoxone.com/hyperhidrosis/patient-id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https://www.botoxone.com/hyperhidrosis/safety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https://www.botoxone.com/oab/dosing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https://www.botoxone.com/oab/efficacy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https://www.botoxone.com/oab/patient-id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https://www.botoxone.com/oab/safety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A6472"/>
        </w:rPr>
        <w:t xml:space="preserve">… and 12 more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52B1E"/>
          <w:sz w:val="24"/>
          <w:szCs w:val="24"/>
        </w:rPr>
        <w:t xml:space="preserve">resources-listing (18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https://www.botoxone.com/adult-ndo/resources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https://www.botoxone.com/adult-ndo/resources?q=adult%20ndo&amp;sp_c=5&amp;page=1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https://www.botoxone.com/adult-spasticity/resources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https://www.botoxone.com/adult-spasticity/resources?q=adult%20spasticity&amp;sp_c=5&amp;page=1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https://www.botoxone.com/blepharospasm/resources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https://www.botoxone.com/blepharospasm/resources?q=Blepharospasm&amp;sp_c=5&amp;page=1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https://www.botoxone.com/cervical-dystonia/resources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https://www.botoxone.com/cervical-dystonia/resources?q=cervical%20dystonia&amp;sp_c=5&amp;page=1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https://www.botoxone.com/hyperhidrosis/resources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https://www.botoxone.com/hyperhidrosis/resources?q=hyperhidrosis&amp;sp_c=5&amp;page=1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https://www.botoxone.com/oab/resources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https://www.botoxone.com/oab/resources?q=oab&amp;sp_c=5&amp;page=1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https://www.botoxone.com/pediatric-ndo/resources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https://www.botoxone.com/pediatric-ndo/resources?q=pediatric%20ndo&amp;sp_c=5&amp;page=1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https://www.botoxone.com/pediatric-spasticity/resources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https://www.botoxone.com/pediatric-spasticity/resources?q=pediatric%20spasticity&amp;sp_c=5&amp;page=1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https://www.botoxone.com/strabismus/resources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https://www.botoxone.com/strabismus/resources?q=strabismus&amp;sp_c=5&amp;page=1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52B1E"/>
          <w:sz w:val="24"/>
          <w:szCs w:val="24"/>
        </w:rPr>
        <w:t xml:space="preserve">search-results-listing (7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https://www.botoxone.com/practice-resources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https://www.botoxone.com/practice-resources?q=Office%20Tools&amp;sp_c=5&amp;page=1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https://www.botoxone.com/practice-resources?q=Patient%20Materials&amp;sp_c=5&amp;page=1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https://www.botoxone.com/practice-resources?q=Provider%20Tools&amp;sp_c=5&amp;page=1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https://www.botoxone.com/practice-resources?q=practice%20resources&amp;collection=ce_documents&amp;sp_c=5&amp;page=1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https://www.botoxone.com/search-results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https://www.botoxone.com/sitemap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52B1E"/>
          <w:sz w:val="24"/>
          <w:szCs w:val="24"/>
        </w:rPr>
        <w:t xml:space="preserve">indication-overview-c (4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https://www.botoxone.com/oab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https://www.botoxone.com/oab/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https://www.botoxone.com/pediatric-ndo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https://www.botoxone.com/pediatric-spasticity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52B1E"/>
          <w:sz w:val="24"/>
          <w:szCs w:val="24"/>
        </w:rPr>
        <w:t xml:space="preserve">info-content-page (3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https://www.botoxone.com/botox-services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https://www.botoxone.com/faqs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https://www.botoxone.com/request-a-rep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52B1E"/>
          <w:sz w:val="24"/>
          <w:szCs w:val="24"/>
        </w:rPr>
        <w:t xml:space="preserve">indication-overview-a (2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https://www.botoxone.com/adult-ndo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https://www.botoxone.com/adult-ndo/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52B1E"/>
          <w:sz w:val="24"/>
          <w:szCs w:val="24"/>
        </w:rPr>
        <w:t xml:space="preserve">indication-overview-b (2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https://www.botoxone.com/adult-spasticity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https://www.botoxone.com/adult-spasticity/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52B1E"/>
          <w:sz w:val="24"/>
          <w:szCs w:val="24"/>
        </w:rPr>
        <w:t xml:space="preserve">homepage (1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52B1E"/>
          <w:sz w:val="24"/>
          <w:szCs w:val="24"/>
        </w:rPr>
        <w:t xml:space="preserve">form-forgot-password (1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https://www.botoxone.com/content/botoxone/en-us/forgot-password/jcr:content/contentpar/background_container/bkgwidthcontainer/aemform.iframe.en.html?dataRef=&amp;wcmmode=DISABLED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52B1E"/>
          <w:sz w:val="24"/>
          <w:szCs w:val="24"/>
        </w:rPr>
        <w:t xml:space="preserve">form-patient-access (1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https://www.botoxone.com/content/botoxone/en-us/patient-access-and-support/jcr:content/contentpar/columns/0/aemform.iframe.en.html?dataRef=&amp;wcmmode=DISABLED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52B1E"/>
          <w:sz w:val="24"/>
          <w:szCs w:val="24"/>
        </w:rPr>
        <w:t xml:space="preserve">form-register (1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https://www.botoxone.com/content/botoxone/en-us/register/jcr:content/contentpar/columns/0/container/containerparsys/aemform.iframe.en.html?dataRef=&amp;wcmmode=DISABLED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52B1E"/>
          <w:sz w:val="24"/>
          <w:szCs w:val="24"/>
        </w:rPr>
        <w:t xml:space="preserve">form-request-a-rep (1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https://www.botoxone.com/content/botoxone/en-us/request-a-rep/jcr:content/contentpar/columns_1660153004/0/container/containerparsys/aemform.iframe.en.html?dataRef=&amp;wcmmode=DISABLED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52B1E"/>
          <w:sz w:val="24"/>
          <w:szCs w:val="24"/>
        </w:rPr>
        <w:t xml:space="preserve">form-reset-password (1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https://www.botoxone.com/content/botoxone/en-us/reset-password/jcr:content/contentpar/columns/0/aemform.iframe.en.html?dataRef=&amp;wcmmode=DISABLED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52B1E"/>
          <w:sz w:val="24"/>
          <w:szCs w:val="24"/>
        </w:rPr>
        <w:t xml:space="preserve">form-sign-in (1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https://www.botoxone.com/content/botoxone/en-us/sign-in/jcr:content/contentpar/background_container/bkgwidthcontainer/aemform.iframe.en.html?dataRef=&amp;wcmmode=DISABLED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52B1E"/>
          <w:sz w:val="24"/>
          <w:szCs w:val="24"/>
        </w:rPr>
        <w:t xml:space="preserve">find-an-injector (1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https://www.botoxone.com/find-an-injector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52B1E"/>
          <w:sz w:val="24"/>
          <w:szCs w:val="24"/>
        </w:rPr>
        <w:t xml:space="preserve">program-landing-maxedge (1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https://www.botoxone.com/maxedge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52B1E"/>
          <w:sz w:val="24"/>
          <w:szCs w:val="24"/>
        </w:rPr>
        <w:t xml:space="preserve">training-page (1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https://www.botoxone.com/online-training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52B1E"/>
          <w:sz w:val="24"/>
          <w:szCs w:val="24"/>
        </w:rPr>
        <w:t xml:space="preserve">support-content-page (1 pages)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https://www.botoxone.com/patient-access-and-support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BOTOX ONE AEM Migration Scope Report</dc:title>
  <dc:creator>EDS Migration Assessment</dc:creator>
  <dc:description>Site scope and effort assessment for migrating www.botoxone.com to AEM as a Cloud Service</dc:description>
  <cp:lastModifiedBy>Un-named</cp:lastModifiedBy>
  <cp:revision>1</cp:revision>
  <dcterms:created xsi:type="dcterms:W3CDTF">2026-06-12T09:53:19.152Z</dcterms:created>
  <dcterms:modified xsi:type="dcterms:W3CDTF">2026-06-12T09:53:19.152Z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