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C41230"/>
          <w:sz w:val="52"/>
          <w:szCs w:val="52"/>
          <w:rFonts w:ascii="Calibri" w:cs="Calibri" w:eastAsia="Calibri" w:hAnsi="Calibri"/>
        </w:rPr>
        <w:t xml:space="preserve">Thermo Fisher Scientific</w:t>
      </w:r>
    </w:p>
    <w:p>
      <w:pPr>
        <w:spacing w:before="200"/>
        <w:jc w:val="center"/>
      </w:pPr>
      <w:r>
        <w:rPr>
          <w:color w:val="2D2D2D"/>
          <w:sz w:val="32"/>
          <w:szCs w:val="32"/>
          <w:rFonts w:ascii="Calibri" w:cs="Calibri" w:eastAsia="Calibri" w:hAnsi="Calibri"/>
        </w:rPr>
        <w:t xml:space="preserve">US Locale (thermofisher.com/us/en/)</w:t>
      </w:r>
    </w:p>
    <w:p>
      <w:pPr>
        <w:spacing w:before="400"/>
        <w:jc w:val="center"/>
      </w:pPr>
      <w:r>
        <w:rPr>
          <w:b/>
          <w:bCs/>
          <w:color w:val="2D2D2D"/>
          <w:sz w:val="44"/>
          <w:szCs w:val="44"/>
          <w:rFonts w:ascii="Calibri" w:cs="Calibri" w:eastAsia="Calibri" w:hAnsi="Calibri"/>
        </w:rPr>
        <w:t xml:space="preserve">AEM-to-EDS Migration Assessment</w:t>
      </w:r>
    </w:p>
    <w:p>
      <w:pPr>
        <w:spacing w:before="300"/>
        <w:jc w:val="center"/>
      </w:pPr>
      <w:r>
        <w:rPr>
          <w:color w:val="888888"/>
          <w:sz w:val="26"/>
          <w:szCs w:val="26"/>
          <w:rFonts w:ascii="Calibri" w:cs="Calibri" w:eastAsia="Calibri" w:hAnsi="Calibri"/>
        </w:rPr>
        <w:t xml:space="preserve">Version 1.0 | March 15, 2026</w:t>
      </w:r>
    </w:p>
    <w:p>
      <w:pPr>
        <w:spacing w:before="200"/>
        <w:jc w:val="center"/>
      </w:pPr>
      <w:r>
        <w:rPr>
          <w:b/>
          <w:bCs/>
          <w:color w:val="C41230"/>
          <w:sz w:val="24"/>
          <w:szCs w:val="24"/>
          <w:rFonts w:ascii="Calibri" w:cs="Calibri" w:eastAsia="Calibri" w:hAnsi="Calibri"/>
        </w:rPr>
        <w:t xml:space="preserve">CONFIDENTIAL</w:t>
      </w:r>
    </w:p>
    <w:p>
      <w:r>
        <w:br w:type="page"/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This document provides a comprehensive migration assessment for thermofisher.com US locale (/us/en/) from Adobe Experience Manager (AMS) to Adobe Edge Delivery Services (EDS). The assessment covers technology stack analysis, page inventory, component catalog, integrations analysis, and a phased migration plan with effort estimates.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Metric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CMS Content Pages (US Locale)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12,161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Supplementary Pages (Product Catalog, Antibodies, etc.)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~911,826 (out of EDS scope)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Unique Page Templates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16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Reusable Blocks/Components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48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Third-Party Integrations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23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Web Forms Identified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Design Variations (Same Content Model)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Locales Served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35 (23 countries, 9 languages)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Estimated Migration Duration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7-9 months (realistic)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Estimated Team Size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8-12 people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1. Current Technology Stack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site is built on Adobe Experience Manager (AMS) with a server-rendered HTML architecture, supplemented by multiple client-side systems for commerce, personalization, and analytics.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Layer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Technology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CMS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Adobe Experience Manager (AMS)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Server-rendered pages, AEM client libraries (/etc/designs/komodo/)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Frontend Framework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Vanilla JS + jQuery Migrate 3.4.1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No SPA framework; progressive enhancement; BEM CSS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Commerce (Out of Scope)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Custom Java/AEM + React SPA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/order/, /store/ paths; React/Redux for product catalog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Blog (Out of Scope)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WordPress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acceleratingscience.com; API-fed into homepage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Search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Lucidworks Fusion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Migrated from Oracle Endeca; typeahead autocomplete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Analytics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Adobe Analytics + AEP/Alloy v2.23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digitalData layer; edge.adobedc.net data collection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Tag Management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Adobe Launch (Experience Platform Tags)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assets.adobedtm.com; multiple extension bundles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Personalization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Adobe Target + DM Dynamic Offers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Pre-hiding containers; server-side offer injection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Authentication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Custom SSO + Gigya/SAP CDC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identity.thermofisher.com; /auth/initiate flow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CDN / Security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Akamai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Bot management, edge caching, WAF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Cookie Consent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TrustArc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GDPR compliance; consent.truste.com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Chat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Custom + Magellan GenAI (feature-flagged)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chat-api.thermofisher.com; Vue.js-based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Accessibility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UserWay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Widget overlay; account P3pDlQucOz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Feedback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Medallia / Kampyle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Form ID 29308; floating button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Design System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HelveticaNeue, 11 weights, WOFF2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 breakpoints; #e71316 brand red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2. Integrations Analysis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23 third-party integrations identified across the site. Each integration is classified by type and complexity for migration planning.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Integration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Type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/ Evidence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Adobe Analytics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Embed / API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_satellite object, digitalData layer on all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Adobe Experience Platform (Alloy)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API / SDK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alloy.min.js v2.23.0, edge.adobedc.net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Adobe Launch (EP Tags)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Embed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assets.adobedtm.com, multiple RC bundles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Adobe Target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API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/api/store/recommendations/recommendation/target/attributes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DM Dynamic Offers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Custom Code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/dm-offers/offers.min.js; CSS template injection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OOB Recommendation Engine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API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/api/store/recommendations/oobRecommendation/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Price &amp; Availability API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API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/api/store/recommendations/priceandavail (POST, 24 items/batch)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TF Identity Service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Custom Code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identity.thermofisher.com; /auth/initiate SSO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Gigya / SAP CDC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Plugin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digitalData.user.gigyaId field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Lucidworks Fusion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Embed / API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/search/searchbar/, /search/static/resources/js/signals.min.js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Custom Chat System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Embed / API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chat-api.thermofisher.com; eligibility API; Vue.js app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Magellan GenAI Chat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API (Feature-flagged)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Cookie ts_magellan_genai; A/B tested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TrustArc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Embed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consent.truste.com/notice; Accept/Reject/Manage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Akamai CDN + Bot Mgmt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Infrastructure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akacd_TFCOM_Prod_AWS_Publish; bot detection scripts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UserWay Accessibility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Embed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cdn.userway.org/widgetapp/; API tunings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Medallia / Kampyle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Embed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nebula-cdn.kampyle.com; form IDs 29308, 46937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WordPress Blog API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API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admin.acceleratingscience.com/wp-json/as-api/v1/blog-feed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MasterControl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External Link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thermofisher.mastercontrol.com (privacy policy)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Adobe Cart System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API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/api/store/carts/{cartId}/minicart; cartV3Enabled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jQuery Migrate 3.4.1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Embed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Legacy compatibility; deprecated APIs in use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Hotjar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Embed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Cookie _hjSessionUser_4539 (corporate subdomain)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Form Security (CSRF)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Custom Code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Cookie formSecurity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TrustArc GTM Bridge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Plugin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gtm=true parameter in consent notice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3. Pages and Assets Inventory</w:t>
      </w:r>
    </w:p>
    <w:p>
      <w:pPr>
        <w:pStyle w:val="Heading2"/>
        <w:spacing w:before="300" w:after="150"/>
      </w:pPr>
      <w:r>
        <w:t xml:space="preserve">3.1 CMS Content Pages (In EDS Scope)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US locale sitemap (sitemap-us-en.xml) contains 12,161 CMS-authored pages. These are the pages targeted for EDS migration.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Section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Page Count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% of Total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Avg Depth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Life Science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3,476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28.6%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4-5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Industrial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1,978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16.3%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4-5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References / Protocols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1,545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12.7%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3-4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Technical Resources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1,223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10.1%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3-4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Products &amp; Services (incl. Promotions)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837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6.9%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3-4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Clinical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628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5.2%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4-5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About Us / Events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573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4.7%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2-3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Electron Microscopy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418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3.4%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3-4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Materials Science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282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2.3%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3-4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Brands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250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2.1%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2-3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Bioprocessing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215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1.8%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3-4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Chemicals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169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1.4%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3-4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Virtual / 3D Tours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0.9%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Other (Events, New Ideas, Global, etc.)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458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3.8%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2-3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12,161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100%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pStyle w:val="Heading2"/>
        <w:spacing w:before="300" w:after="150"/>
      </w:pPr>
      <w:r>
        <w:t xml:space="preserve">3.2 Supplementary Pages (Out of EDS Scope)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These application-generated pages are served by dedicated systems (React SPA, antibody app, etc.) and are NOT in scope for EDS CMS migration.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System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URL Pattern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Approx. Pages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Technology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Product Catalog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/order/catalog/product/{SKU}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393,254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React SPA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Antibodies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/antibody/product/{name}/{id}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359,830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Dedicated App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Citations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/order/catalog/product/{SKU}/citations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109,062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React SPA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FAQ Pages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/store/sitemap/faq/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32,122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React SPA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Antibody Videos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Video sitemap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11,336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Video CDN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CAS Chemical Search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/search/cas/{CAS-number}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5,648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Search App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Other (OneLambda, Allergy, etc.)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Various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574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Dedicated Apps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TOTAL OUT OF SCOPE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~911,826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</w:tbl>
    <w:p>
      <w:pPr>
        <w:pStyle w:val="Heading2"/>
        <w:spacing w:before="300" w:after="150"/>
      </w:pPr>
      <w:r>
        <w:t xml:space="preserve">3.3 Assets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Images and media assets are served from AEM DAM (/content/dam/) and Adobe Dynamic Media. Key observations: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Hero banners and promotional images: dynamically served via DM Offers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Product images: served from product catalog CDN (shared across locales)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Brand logos and icons: served from /etc/designs/ client libraries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Blog images: served from WordPress (acceleratingscience.com)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Estimated unique image assets: 15,000-25,000 (excluding product catalog)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Page Grouping by Traffic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Pages are classified into HIGH, MEDIUM, and LOW traffic groups based on URL depth, section importance, and typical user navigation patterns for a B2B scientific commerce site.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Traffic Group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Page Count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% of Total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Migration Priority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233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1.9%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Homepage, L1 section hubs (27), L2 major categories (205)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Phase 1 - First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4,116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33.8%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L3-L4 subcategories, brand pages, promotions (710), events (562), virtual tours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Phase 2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7,812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64.2%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Depth 5+ pages, reference articles (1,545), technical library (1,200+), deep subpages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Phase 3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Traffic Group Breakdown by Section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Section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Life Science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1,168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2,284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Industrial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569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1,391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References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1,537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Technical Resources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1,209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Products &amp; Services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126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710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Clinical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76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540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About Us / Events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91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481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Electron Microscopy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110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307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Brands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146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Support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Other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1,856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1,207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TOTAL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233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4,116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7,812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5. Templates Inventory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16 unique page templates identified across the US locale. Templates are classified by complexity and migration approach.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Template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Count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Reasoning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 URL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Dynamic offers, personalization, carousels, product carousel with pricing, blog feed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thermofisher.com/us/en/home.html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L1 Category Hub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27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H1 title, featured links, 4-column category grid, banner images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/us/en/home/life-science.html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L2 Category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205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Hero with CTA, image cards, value props, application links, research areas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/us/en/home/life-science/antibodies.html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L3-L5 Product Category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8,300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Nested categories with sidebar nav, product specs, comparison content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/us/en/home/life-science/pcr/real-time-pcr.html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Brand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250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Brand logo, sidebar nav, multi-section content, resource cards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/us/en/home/brands/thermo-scientific.html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Technical Resources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1,223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Reference library pages, learning centers, document hubs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/us/en/home/technical-resources.html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References / Protocols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1,545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Structured document pages, text-heavy, minimal interactivity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/us/en/home/references/protocols.html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Support Hub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Multi-column link grid, collapsible TOC, contact sidebar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/us/en/home/support.html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Promotions / Campaign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710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Promo hero, product cards, CTAs, time-sensitive content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/us/en/home/products-and-services/promotions.html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About Us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91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Corporate content, text-focused, external links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/us/en/home/about-us.html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Events / Webinars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  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562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Table-based layout, client-side filter, date-driven content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/us/en/home/events.html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Virtual / 3D Tours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109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Embedded 3D product viewers, interactive experiences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/us/en/home/virtual/vanquish-horizon-hplc.html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Clinical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628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Category pattern with clinical-specific content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/us/en/home/clinical/diagnostic-testing.html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Industrial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1,978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Category pattern with industrial-specific content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/us/en/home/industrial/chromatography.html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Global / Legal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Simple text pages (terms, privacy, policies)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/us/en/home/global/terms-and-conditions.html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Misc / Legacy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  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Campaign landing pages, test pages, unsubscribe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/us/en/home/homepage2020.html</w:t>
            </w:r>
          </w:p>
        </w:tc>
      </w:tr>
    </w:tbl>
    <w:p>
      <w:pPr>
        <w:spacing w:after="100"/>
      </w:pP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  <w:rFonts w:ascii="Calibri" w:cs="Calibri" w:eastAsia="Calibri" w:hAnsi="Calibri"/>
        </w:rPr>
        <w:t xml:space="preserve">Figure 1: Homepage Template — Hero carousel, product offers, promotions, blog feed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  <w:rFonts w:ascii="Calibri" w:cs="Calibri" w:eastAsia="Calibri" w:hAnsi="Calibri"/>
        </w:rPr>
        <w:t xml:space="preserve">Figure 2: L1 Category Template — Life Sciences hub with 4-column category grid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  <w:rFonts w:ascii="Calibri" w:cs="Calibri" w:eastAsia="Calibri" w:hAnsi="Calibri"/>
        </w:rPr>
        <w:t xml:space="preserve">Figure 3: L2 Category Template — Antibodies with hero, image cards, research areas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  <w:rFonts w:ascii="Calibri" w:cs="Calibri" w:eastAsia="Calibri" w:hAnsi="Calibri"/>
        </w:rPr>
        <w:t xml:space="preserve">Figure 4: Brand Page Template — Thermo Scientific with sidebar nav, resource cards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  <w:rFonts w:ascii="Calibri" w:cs="Calibri" w:eastAsia="Calibri" w:hAnsi="Calibri"/>
        </w:rPr>
        <w:t xml:space="preserve">Figure 5: Support Hub Template — Multi-column link grid with collapsible TOC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  <w:rFonts w:ascii="Calibri" w:cs="Calibri" w:eastAsia="Calibri" w:hAnsi="Calibri"/>
        </w:rPr>
        <w:t xml:space="preserve">Figure 6: Documents &amp; Certificates — CoA, SDS, Manuals lookup forms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  <w:rFonts w:ascii="Calibri" w:cs="Calibri" w:eastAsia="Calibri" w:hAnsi="Calibri"/>
        </w:rPr>
        <w:t xml:space="preserve">Figure 7: Promotions Template — Card grid with promo imagery and CTAs</w:t>
      </w:r>
    </w:p>
    <w:p>
      <w:pPr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  <w:rFonts w:ascii="Calibri" w:cs="Calibri" w:eastAsia="Calibri" w:hAnsi="Calibri"/>
        </w:rPr>
        <w:t xml:space="preserve">Figure 8: Events Template — Table-based layout with client-side filter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Blocks / Components Catalog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48 unique reusable blocks/components identified. Where the same content model has different visual layouts, these are cataloged as design variations rather than separate blocks.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6.1 Navigation Components (10)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Behavior &amp; Functionality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Pages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Global Header Bar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Fixed position, responsive (60px mobile/88px desktop), logo, search, utility icons, z-index:80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Promotional Top Bar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Rotating promo banner above header, full-width clickable link, dismiss button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pages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Mega Navigation Menu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Left slide-out on mobile (380px), horizontal mega-menu desktop (993px+), multi-level hierarchy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Breadcrumb Trail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Home &gt; Category &gt; Subcategory with "&gt;" separator, linked parents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Category, Brand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/us/en/home/life-science.html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Utility Bar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Order Status, Quick Order, Sign In, Bell, Cart icons; hidden below 993px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Account Dropdown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330px dropdown with user name, My Account, loyalty info, Sign Out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pages (auth)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Left Sidebar Nav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Sticky vertical nav: Popular Products, Key Applications, Resources sections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Brand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/us/en/home/brands/thermo-scientific.html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Collapsible TOC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Accordion button expanding/collapsing page content outline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Support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/us/en/home/support.html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In-Page Anchor Nav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Horizontal link list linking to #anchor sections within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Brand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/us/en/home/brands/thermo-scientific.html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Country/Locale Selector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Footer element: flag icon + country name, locale picker modal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pages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/us/en/home.html</w:t>
            </w:r>
          </w:p>
        </w:tc>
      </w:tr>
    </w:tbl>
    <w:p>
      <w:pPr>
        <w:pStyle w:val="Heading2"/>
        <w:spacing w:before="300" w:after="150"/>
      </w:pPr>
      <w:r>
        <w:t xml:space="preserve">6.2 Hero &amp; Banner Components (5)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Behavior &amp; Functionality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Pages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Full-Width Hero Banner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DM Offers dynamic content, background image, overlaid text + CTA, multiple rotating variants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Category Hero Banner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Colored background (#A51C36), H1 heading, subtitle, primary CTA button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L2 categories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/us/en/home/life-science/antibodies.html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Brand Hero Image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Large brand logo image with in-page anchor nav below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Brand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/us/en/home/brands/thermo-scientific.html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Page Title Header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Plain H1 on light gray background strip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L1, Support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/us/en/home/life-science.html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Sticky Bottom Promo Bar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Fixed bottom bar with promo text, CTA link, dismiss "x" button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Homepage, L1, L2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/us/en/home.html</w:t>
            </w:r>
          </w:p>
        </w:tc>
      </w:tr>
    </w:tbl>
    <w:p>
      <w:pPr>
        <w:pStyle w:val="Heading2"/>
        <w:spacing w:before="300" w:after="150"/>
      </w:pPr>
      <w:r>
        <w:t xml:space="preserve">6.3 Content Blocks (11)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Behavior &amp; Functionality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Design Variations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Featured Education Section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H2 + "See all" link, teaser cards with full-width image, title, bullet points, CTA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Blog Post List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H2 + "View all" link, 3 entries: thumbnail, title, date, "Read more"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Category Description Grid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4-column grid of H3-linked categories with paragraph descriptions (18 categories)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Value Proposition Cards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3-card horizontal: image, H4, description, "Learn more" link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Application Links + Image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Left image + right 2-column link list with arrow icons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Variation: Research Areas (3-col no image)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Research Areas Grid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3-column grid of arrow-prefixed links (9 links)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Variation of Application Links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Related Categories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Image + 2-column link list with arrows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Brand Description Block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H2 + multi-paragraph rich text with inline links, separated by &lt;hr&gt;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Multi-Column Support Grid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2-column layout with 10+ H2/H3 categorized link sections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Supply Center Block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H2 + subtitle + CTA link, text-only, no image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Regulatory Disclaimer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Single-line "For Research Use Only" text at page bottom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pStyle w:val="Heading2"/>
        <w:spacing w:before="300" w:after="150"/>
      </w:pPr>
      <w:r>
        <w:t xml:space="preserve">6.4 Card Components (10)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Behavior &amp; Functionality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Design Variations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Promotional Pod Cards (3-up)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Background image, short text, CTA link; part of DM offers system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Product Carousel Card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Catalog #, name, image, strikethrough price, special offer, savings %, "Add to cart"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Promotion Banner Card (2-up)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Background image, text overlay, badge label, primary CTA button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Variation: 4-up layout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New Product Card (3-up)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Product image, title, description, "Learn more" CTA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Educational Content Card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3-up horizontal: icon image + linked title, no description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Related Pages Card (2-up)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Icon + linked title only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Resource Card w/ Thumbnail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70x70 thumbnail left, H3 linked title + description right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Category Image Card (2x2)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Full-width image + linked label below; grid layout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Event Table Row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Table-based layout: date, title, location, type, CTA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Promotion Listing Card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Image, promo badge, description, CTA; filterable grid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Variation: with/without badge</w:t>
            </w:r>
          </w:p>
        </w:tc>
      </w:tr>
    </w:tbl>
    <w:p>
      <w:pPr>
        <w:pStyle w:val="Heading2"/>
        <w:spacing w:before="300" w:after="150"/>
      </w:pPr>
      <w:r>
        <w:t xml:space="preserve">6.5 Interactive &amp; Third-Party Components (12)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Behavior &amp; Functionality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Product Offer Carousel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 visible cards, arrow + dot nav, 24 products, pricing, "Add to cart"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Promotional Carousel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2-4 visible cards, arrow + dot navigation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Homepage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Global Search Bar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Typeahead autocomplete, provider dropdown, mobile full-screen overlay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Cookie Consent Banner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TrustArc: Accept All / Reject All / Manage Settings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pages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Cart Drawer Sidebar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Right-slide 440px, product list, pricing, suggested products, checkout CTA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Notification Bell Dropdown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420px dropdown, scrollable notifications, timestamps, "See All"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pages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TrustArc Cookie Manager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Full GDPR consent system, tag injection management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Adobe Launch/DTM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Tag management, Adobe Target personalization with 3s pre-hiding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pages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Kampyle/Medallia Feedback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Fixed "Feedback" button, form ID 29308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Most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AI Chat Widget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Chat launcher, eligibility API, Vue.js app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Category, Support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Accessibility Quick Menu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 buttons: skip content, visual impairment, a11y menu, a11y nav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Global Footer (5-column)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Ordering, Support, Resources, About TF, Portfolio; legal bar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pages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7. Page Counts by Template (Migration Approach)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Template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Auto-Migratable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Manual Migration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Dynamic offers, personalization, carousels require manual setup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L1 Category Hub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27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5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Standard grid pattern; some have custom promo banners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L2 Category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205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Hero + cards + links; variable section counts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L3-L5 Product Category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8,300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7,300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1,000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Bulk-importable with templates; edge cases need manual review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Brand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250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190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Sidebar nav + mixed content; some heavily customized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Technical Resources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1,223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1,050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173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Reference content, mostly structured text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References / Protocols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1,545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1,400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145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Highly structured document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Support Hub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Complex multi-column layouts, all need manual work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Promotions / Campaign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710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550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160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Variable layouts, some time-sensitive logic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About Us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91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75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Text-focused, some link to corporate subdomain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Events / Webinars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562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450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112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Table-based with filter; date-driven content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Virtual / 3D Tours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109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109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Embedded 3D viewers need custom implementation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Clinical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628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520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Standard category pattern with clinical specifics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Industrial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1,978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1,700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278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Standard category pattern, deepest hierarchy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Global / Legal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Simple text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Misc / Legacy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Campaign pages, test pages, varied layouts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TOTALS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12,161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9,500 (78%)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2,661 (22%)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8. Complex Use Cases &amp; Observations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Use Case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Instances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Where Found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Why Complex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Product Recommendation Engine (Adobe Target)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carousel + multiple placements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Homepage, category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Real-time API calls to /api/store/recommendations/; personalized per user context (region, cart, history). Requires EDS integration with Target APIs.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Dynamic Pricing Display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24+ products per carousel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Homepage Online Offers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Dual pricing (regular + special offer), savings calculation, real-time price API. Currency/locale-aware.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DM Dynamic Offers System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3-5 placements per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Homepage, category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Server-side personalization injecting HTML into placeholders. 200+ country code validation. CSS template loading. Retry mechanism (25 attempts).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Geolocation / Locale Detection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Global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35 locales, 23 countries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Cookie-based (CK_ISO_CODE), hreflang tags, marketing region mapping. EDS needs edge-side detection or cookie routing.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Real-Time Cart Management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Global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 (mini-cart)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Server-side cart with cartId cookie, version flag (cartV3Enabled), suggested products. Cross-page persistence.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Certificate of Analysis Lookup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form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Documents &amp; Certificates page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AJAX lot/serial number lookup against backend API. Critical for regulated customers.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Safety Data Sheet Search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form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Documents &amp; Certificates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Catalog number-based document retrieval. Regulatory compliance requirement.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AI Chat (Magellan GenAI)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Feature-flagged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Category, Support pages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Generative AI-powered chat being A/B tested. Feature flag via cookie ts_magellan_genai.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Multi-Step Contact Routing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hub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/store/v2/contact-us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 topic cards leading to specialized contact methods. Real-time chat eligibility API check.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Event Table with Client-Side Filter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page + subpages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/us/en/home/events.html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Table-based layout with text search filtering. Not server-side search.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WordPress Blog Feed Integration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section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API-fed content from acceleratingscience.com. Dynamic date/title/thumbnail rendering.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Virtual / 3D Product Tours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109 pages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/us/en/home/virtual/*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Embedded interactive 3D viewers. Each product has custom viewer configuration.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9. Web Forms Analysis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12 form types identified across the site. Forms are grouped by structure similarity and tagged by complexity.</w:t>
      </w:r>
    </w:p>
    <w:p>
      <w:pPr>
        <w:spacing w:after="1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Form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Location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Fields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Reasoning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Global Search Bar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 (header)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text + 1 dropdown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Typeahead autocomplete, Lucidworks integration, mobile-responsive overlay, search signals analytics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Contact Us Hub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/store/v2/contact-us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6 topic cards + sub-forms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Multi-step routing, chat eligibility API, multiple contact methods per topic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CoA Lookup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Documents &amp; Certificates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text + 1 submit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AJAX lot/serial number lookup against backend API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SDS Lookup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Documents &amp; Certificates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text + 1 submit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AJAX catalog number lookup; regulatory compliance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Manuals &amp; Guides Lookup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Documents &amp; Certificates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text + 1 submit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AJAX catalog number lookup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FAQ Search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Documents &amp; Certificates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text + 1 submit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AJAX catalog number lookup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Shopping Cart / Mini-Cart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pages (sidebar)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Qty selectors + remove buttons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Cart API integration, real-time updates, suggested products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Authentication / Sign-In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Header account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SSO redirect flow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identity.thermofisher.com; Gigya/SAP CDC integration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Medallia Feedback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Floating button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Survey form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Kampyle SDK; form ID 29308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Cookie Consent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Bottom banner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Accept / Reject / Manage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TrustArc integration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Event Text Filter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Events page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text input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Client-side table filtering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Webinar Registration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/global/forms/*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5-10 fields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Standardized registration form template for events/webinars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Form Complexity Summary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Count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Forms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Global Search, Contact Hub, Shopping Cart, Authentication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6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CoA Lookup, SDS Lookup, Manuals Lookup, FAQ Search, Medallia Feedback, Webinar Registration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Cookie Consent, Event Text Filter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10. Analysis Summary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Category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Page Templates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Blocks / Components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48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Design Variations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Third-Party Integrations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5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7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11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Web Forms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Complex Use Cases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—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Key Metrics: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Total CMS pages in scope: 12,161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Auto-migratable pages: 9,500 (78%)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Manual migration pages: 2,661 (22%)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High-traffic pages (migration priority): 233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Out-of-scope application pages: ~911,826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Supported locales: 35 (potential for multi-locale rollout)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11. Migration Estimates</w:t>
      </w:r>
    </w:p>
    <w:p>
      <w:pPr>
        <w:pStyle w:val="Heading2"/>
        <w:spacing w:before="300" w:after="150"/>
      </w:pPr>
      <w:r>
        <w:t xml:space="preserve">11.1 Effort Summary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Optimistic (days)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Realistic (days)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Pessimistic (days)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Discovery &amp; Planning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30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Design System Migration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15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25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Core Block Development (48 components)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110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140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Integration Layer (23 integrations)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45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65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85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Import Infrastructure (parsers, transformers)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60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Content Migration (12,161 pages)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90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130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175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QA &amp; Validation (visual, a11y, performance)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85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UAT &amp; Launch (stakeholder review, cutover)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30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340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485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640</w:t>
            </w:r>
          </w:p>
        </w:tc>
      </w:tr>
    </w:tbl>
    <w:p>
      <w:pPr>
        <w:pStyle w:val="Heading2"/>
        <w:spacing w:before="300" w:after="150"/>
      </w:pPr>
      <w:r>
        <w:t xml:space="preserve">11.2 Team &amp; Timeline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Scenario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Team Size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Total Person-Days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Cost @ $150-200/hr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Optimistic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6-8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5-6 months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340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$408K - $544K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Realistic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8-12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7-9 months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485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$582K - $776K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Pessimistic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10-14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9-12 months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640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$768K - $1.02M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12. Three-Phase Migration Plan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migration is structured into 3 sequential phases with no parallel execution. Each phase has defined workstreams, deliverables, and exit criteria.</w:t>
      </w:r>
    </w:p>
    <w:p>
      <w:pPr>
        <w:spacing w:after="150"/>
      </w:pPr>
    </w:p>
    <w:p>
      <w:pPr>
        <w:pStyle w:val="Heading2"/>
        <w:spacing w:before="300" w:after="150"/>
      </w:pPr>
      <w:r>
        <w:t xml:space="preserve">12.1 Sequential Roadmap</w:t>
      </w:r>
    </w:p>
    <w:p>
      <w:pPr>
        <w:spacing w:after="200"/>
      </w:pPr>
      <w:r>
        <w:rPr>
          <w:b/>
          <w:bCs/>
          <w:sz w:val="18"/>
          <w:szCs w:val="18"/>
          <w:rFonts w:ascii="Courier New" w:cs="Courier New" w:eastAsia="Courier New" w:hAnsi="Courier New"/>
        </w:rPr>
        <w:t xml:space="preserve">    PHASE 1: Foundation          PHASE 2: Build &amp; Migrate       PHASE 3: Scale &amp; Launch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 Month 1 ---- Month 3         Month 4 ---- Month 7          Month 8 ---- Month 9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┌─────────────────────┐    ┌───────────────────────┐    ┌─────────────────────┐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AEM: Content Audit   │    │ AEM: Bulk Import       │    │ AEM: Remaining Pages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  Template Mapping   │    │   Manual Migration     │    │   Content Freeze    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  Asset Inventory    │    │   Content Validation   │    │   Final Validation  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├─────────────────────┤    ├───────────────────────┤    ├─────────────────────┤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EDS: Design System   │    │ EDS: All 48 Blocks    │    │ EDS: Perf Tuning    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  Core Blocks (15)   │    │   Template Refinement  │    │   SEO Validation    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  Header/Footer      │    │   Visual QA            │    │   Lighthouse 100    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├─────────────────────┤    ├───────────────────────┤    ├─────────────────────┤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INT: Analytics Setup  │    │ INT: Target/Offers     │    │ INT: E2E Testing    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  Search POC         │    │   Cart Integration     │    │   DNS Cutover       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│   Auth Planning      │    │   Chat/Consent/A11y   │    │   Monitoring Setup   │</w:t>
      </w:r>
    </w:p>
    <w:p>
      <w:r>
        <w:rPr>
          <w:sz w:val="18"/>
          <w:szCs w:val="18"/>
          <w:rFonts w:ascii="Courier New" w:cs="Courier New" w:eastAsia="Courier New" w:hAnsi="Courier New"/>
        </w:rPr>
        <w:t xml:space="preserve">   └─────────────────────┘    └───────────────────────┘    └─────────────────────┘</w:t>
      </w:r>
    </w:p>
    <w:p>
      <w:pPr>
        <w:spacing w:after="100"/>
      </w:pPr>
      <w:r>
        <w:rPr>
          <w:b/>
          <w:bCs/>
          <w:sz w:val="18"/>
          <w:szCs w:val="18"/>
          <w:rFonts w:ascii="Courier New" w:cs="Courier New" w:eastAsia="Courier New" w:hAnsi="Courier New"/>
        </w:rPr>
        <w:t xml:space="preserve">        EXIT: 233 HIGH pages       EXIT: 4,116 MED pages        EXIT: All 12,161 pages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12.2 Phase 1: Foundation (Months 1-3)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Establish the EDS project, migrate design system, build core blocks, and migrate all HIGH-traffic pages (233 pages).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AEM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Content Audit &amp; Template Mapping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Complete page-template mapping for all 12,161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Asset Inventory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week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Catalog of 15-25K unique images with source/format/dimensions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Content Export Tooling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AEM content extraction scripts and bulk export pipeline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 Page Content Prep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Content for 233 high-traffic pages exported, cleaned, validated</w:t>
            </w:r>
          </w:p>
        </w:tc>
      </w:tr>
    </w:tbl>
    <w:p>
      <w:pPr>
        <w:pStyle w:val="Heading3"/>
        <w:spacing w:before="200" w:after="100"/>
      </w:pPr>
      <w:r>
        <w:t xml:space="preserve">EDS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EDS Project Setup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GitHub repo, aem.live config, local dev environment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Design System Migration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CSS custom properties, HelveticaNeue fonts, 7 breakpoints, brand colors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Global Header Block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Responsive header with search, utility bar, mega nav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Global Footer Block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week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5-column footer with legal bar and locale selector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Core Blocks (15 priority)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Hero, cards, content blocks, breadcrumbs, sidebar nav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 Pages Import &amp; Validation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233 pages migrated, visually verified against original</w:t>
            </w:r>
          </w:p>
        </w:tc>
      </w:tr>
    </w:tbl>
    <w:p>
      <w:pPr>
        <w:pStyle w:val="Heading3"/>
        <w:spacing w:before="200" w:after="100"/>
      </w:pPr>
      <w:r>
        <w:t xml:space="preserve">Integrations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Analytics Setup (Adobe Analytics + AEP)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digitalData layer, Launch integration, event tracking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Search POC (Lucidworks)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Searchbar integration proof-of-concept on EDS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Auth Architecture Planning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SSO flow design for identity.thermofisher.com on EDS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Cookie Consent (TrustArc)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week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TrustArc script integration and consent flow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Phase 1 Exit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233 HIGH-traffic pages live on EDS preview environment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Design system fully implemented with visual parity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15 core blocks functional and responsive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Analytics and consent tracking operational</w:t>
      </w:r>
    </w:p>
    <w:p>
      <w:r>
        <w:br w:type="page"/>
      </w:r>
    </w:p>
    <w:p>
      <w:pPr>
        <w:pStyle w:val="Heading2"/>
        <w:spacing w:before="300" w:after="150"/>
      </w:pPr>
      <w:r>
        <w:t xml:space="preserve">12.3 Phase 2: Build &amp; Migrate (Months 4-7)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Complete all block development, migrate MEDIUM-traffic pages (4,116 pages), and implement all integrations.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AEM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Bulk Import Pipeline Execution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~3,200 auto-migratable MEDIUM pages imported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Manual Migration (Complex Pages)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4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~916 MEDIUM pages requiring manual content work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Content Validation &amp; QA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Visual regression testing against original for all MEDIUM pages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Asset Migration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images and media for MEDIUM pages transferred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Redirect Mapping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URL mapping document for all migrated pages</w:t>
            </w:r>
          </w:p>
        </w:tc>
      </w:tr>
    </w:tbl>
    <w:p>
      <w:pPr>
        <w:pStyle w:val="Heading3"/>
        <w:spacing w:before="200" w:after="100"/>
      </w:pPr>
      <w:r>
        <w:t xml:space="preserve">EDS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Remaining Blocks (33)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6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48 blocks complete: interactive, commerce, third-party widgets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Product Carousel Block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Carousel with pricing, add-to-cart, Target API integration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Template Refinement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All 16 templates polished for content author experience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Visual QA &amp; Responsive Testing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3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Cross-browser, cross-device validation for all blocks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Accessibility Audit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WCAG 2.1 AA compliance for all blocks and pages</w:t>
            </w:r>
          </w:p>
        </w:tc>
      </w:tr>
    </w:tbl>
    <w:p>
      <w:pPr>
        <w:pStyle w:val="Heading3"/>
        <w:spacing w:before="200" w:after="100"/>
      </w:pPr>
      <w:r>
        <w:t xml:space="preserve">Integrations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Adobe Target / DM Offers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Personalization engine on EDS with pre-hiding, offer injection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Cart Integration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Cart drawer sidebar, add-to-cart, mini-cart API on EDS pages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Lucidworks Search (Full)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Complete searchbar with typeahead, signals, provider selector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Chat Widget (Custom + Magellan)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Chat launcher, eligibility API, GenAI feature flag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UserWay Accessibility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Accessibility overlay widget integration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Medallia Feedback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week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Kampyle SDK integration, floating feedback button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WordPress Blog Feed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API integration for homepage blog section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Phase 2 Exit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4,349 pages (HIGH + MEDIUM) live on EDS preview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All 48 blocks complete and tested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All 23 integrations functional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Visual regression pass rate &gt; 95%</w:t>
      </w:r>
    </w:p>
    <w:p>
      <w:r>
        <w:br w:type="page"/>
      </w:r>
    </w:p>
    <w:p>
      <w:pPr>
        <w:pStyle w:val="Heading2"/>
        <w:spacing w:before="300" w:after="150"/>
      </w:pPr>
      <w:r>
        <w:t xml:space="preserve">12.4 Phase 3: Scale &amp; Launch (Months 8-9)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Migrate all remaining LOW-traffic pages (7,812 pages), performance tuning, SEO validation, and production launch.</w:t>
      </w:r>
    </w:p>
    <w:p>
      <w:pPr>
        <w:spacing w:after="100"/>
      </w:pPr>
    </w:p>
    <w:p>
      <w:pPr>
        <w:pStyle w:val="Heading3"/>
        <w:spacing w:before="200" w:after="100"/>
      </w:pPr>
      <w:r>
        <w:t xml:space="preserve">AEM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Bulk Import: Remaining LOW Pages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3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~6,300 auto-migratable LOW pages imported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Manual Migration: Complex LOW Pages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~1,512 LOW pages requiring manual work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Content Freeze &amp; Final Validation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No new AEM content changes; final content verification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Redirect Implementation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week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All 12,161 redirects configured and tested</w:t>
            </w:r>
          </w:p>
        </w:tc>
      </w:tr>
    </w:tbl>
    <w:p>
      <w:pPr>
        <w:pStyle w:val="Heading3"/>
        <w:spacing w:before="200" w:after="100"/>
      </w:pPr>
      <w:r>
        <w:t xml:space="preserve">EDS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Performance Optimization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LCP &lt; 2.5s, CLS &lt; 0.1, FID &lt; 100ms on all templates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SEO Validation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week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Meta tags, structured data, sitemap, canonical URLs verified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Lighthouse Score Target: 100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PageSpeed Insights validation on all template types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Edge Worker Configuration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week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Akamai/EDS edge rules for locale routing, caching, redirects</w:t>
            </w:r>
          </w:p>
        </w:tc>
      </w:tr>
    </w:tbl>
    <w:p>
      <w:pPr>
        <w:pStyle w:val="Heading3"/>
        <w:spacing w:before="200" w:after="100"/>
      </w:pPr>
      <w:r>
        <w:t xml:space="preserve">Integrations Workstream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Deliverables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End-to-End Integration Testing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Full test suite: analytics, search, cart, auth, chat, consent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DNS Cutover Planning &amp; Execution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 week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Phased DNS migration with rollback plan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Production Monitoring Setup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Error tracking, performance monitoring, uptime alerts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Hypercare / Post-Launch Support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 weeks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Dedicated team for issue triage and hotfixes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Phase 3 Exit Criteria: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All 12,161 pages live on EDS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Lighthouse score &gt;= 95 on all template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All redirects functional with zero 404 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All integrations verified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Hypercare team in place for 2-week post-launch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13. Assumptions &amp; Boundary Conditions</w:t>
      </w:r>
    </w:p>
    <w:p>
      <w:pPr>
        <w:pStyle w:val="Heading2"/>
        <w:spacing w:before="300" w:after="150"/>
      </w:pPr>
      <w:r>
        <w:t xml:space="preserve">13.1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AEM AMS environment remains available for content extraction throughout the migration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Product catalog pages (/order/catalog/, /antibody/, /search/) remain on their current React SPA and are NOT migrated to EDS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WordPress blog (acceleratingscience.com) remains on WordPress; only the API feed integration is migrated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corporate.thermofisher.com (About Us) remains a separate AEM instance and is NOT 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Identity service (identity.thermofisher.com) remains as-is; EDS integrates via redirect-based 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Content authors will use AEM Universal Editor or Google Docs/Sheets for EDS content authoring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Existing Akamai CDN configuration can be adapted for EDS edge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No new feature development during migration (feature freeze on CMS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Image assets can be referenced via existing CDN URLs (no re-hosting required initially)</w:t>
      </w:r>
    </w:p>
    <w:p>
      <w:pPr>
        <w:pStyle w:val="Heading2"/>
        <w:spacing w:before="300" w:after="150"/>
      </w:pPr>
      <w:r>
        <w:t xml:space="preserve">13.2 Boundary Conditions (Scope Creep Risks)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Risk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Impact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Likelihood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Mitigation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Multi-locale rollout requested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 — 34 additional locales × 12K pages each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Scope US-only first; design for locale reuse from Day 1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Product catalog pages added to scope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Very High — 393K+ React SPA pages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Low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Maintain clear boundary: /order/* stays on React SPA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Custom eCommerce on EDS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 — cart/checkout rebuild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Keep cart as shared JS widget; don't rebuild commerce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New brand/design refresh during migration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 — rework all blocks and CSS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Freeze design system in Phase 1; absorb changes post-launch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Legacy page discovery (unlisted pages)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 — additional manual migration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Buffer 15% in estimates for undiscovered content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Third-party integration changes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 — API contract changes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Lock integration versions; defer upgrades to post-launch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Performance targets increased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 — additional optimization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Design for 100 Lighthouse from start; use EDS best practices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Accessibility compliance upgrade (WCAG 2.2)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 — additional testing/remediation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Build to WCAG 2.1 AA; assess 2.2 delta post-launch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Content authoring training delays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Low — author productivity impact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Start training in Phase 2; provide comprehensive documentation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jQuery dependency in shared components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Medium — header/footer rely on jQuery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High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Rebuild header/footer as vanilla JS blocks; no jQuery in EDS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14. Recommended Team Composition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Count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Phase Allocation</w:t>
            </w:r>
          </w:p>
        </w:tc>
        <w:tc>
          <w:tcPr>
            <w:shd w:fill="C4123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Key Responsibilities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Technical Architect / Lead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P1-P3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Integration design, block architecture, EDS patterns, technical decisions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Senior Frontend Developer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P1-P3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Core block development, design system, responsive implementation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Frontend Developer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2-3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P1-P3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Block development, CSS/JS, template implementation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Content Migration Engineer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P1-P3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Import scripts, parsers, bulk migration tooling, content validation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Integration Developer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1-2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P1-P3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Adobe Target, Analytics, Cart API, Auth, Chat, Search integration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QA Engineer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1-2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P2-P3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Visual regression, accessibility, performance, cross-browser testing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Content Author / Editor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1-2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P2-P3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Manual content review, content validation, author training</w:t>
            </w:r>
          </w:p>
        </w:tc>
      </w:tr>
      <w:tr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Project Manager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1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P1-P3</w:t>
            </w:r>
          </w:p>
        </w:tc>
        <w:tc>
          <w:tcPr>
            <w:shd w:fill="F8F8F8" w:val="clear"/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  <w:shd/>
              </w:rPr>
              <w:t xml:space="preserve">Sprint planning, stakeholder communication, risk management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11-15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  <w:rFonts w:ascii="Calibri" w:cs="Calibri" w:eastAsia="Calibri" w:hAnsi="Calibri"/>
      </w:rPr>
      <w:t xml:space="preserve">Page </w:t>
    </w:r>
    <w:r>
      <w:rPr>
        <w:color w:val="999999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  <w:rFonts w:ascii="Calibri" w:cs="Calibri" w:eastAsia="Calibri" w:hAnsi="Calibri"/>
      </w:rPr>
      <w:t xml:space="preserve"> of </w:t>
    </w:r>
    <w:r>
      <w:rPr>
        <w:color w:val="999999"/>
        <w:sz w:val="16"/>
        <w:szCs w:val="16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  <w:rFonts w:ascii="Calibri" w:cs="Calibri" w:eastAsia="Calibri" w:hAnsi="Calibri"/>
      </w:rPr>
      <w:t xml:space="preserve">TF US Migration Assessment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C41230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2D2D2D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b/>
      <w:bCs/>
      <w:color w:val="555555"/>
      <w:sz w:val="26"/>
      <w:szCs w:val="26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qlx0d-yadmtbgbntouzql.png"/><Relationship Id="rId9" Type="http://schemas.openxmlformats.org/officeDocument/2006/relationships/image" Target="media/asno8xudnoesdirs8n15o.png"/><Relationship Id="rId10" Type="http://schemas.openxmlformats.org/officeDocument/2006/relationships/image" Target="media/7gw-qfixt_igynunmhzcs.png"/><Relationship Id="rId11" Type="http://schemas.openxmlformats.org/officeDocument/2006/relationships/image" Target="media/zkymmcwswepkmrrgfesox.png"/><Relationship Id="rId12" Type="http://schemas.openxmlformats.org/officeDocument/2006/relationships/image" Target="media/bsrl-ixwoufm34oq8wsre.png"/><Relationship Id="rId13" Type="http://schemas.openxmlformats.org/officeDocument/2006/relationships/image" Target="media/7rj17ua02aw_0qmhyz6eu.png"/><Relationship Id="rId14" Type="http://schemas.openxmlformats.org/officeDocument/2006/relationships/image" Target="media/vtzgyqflgfqnrt8bxprna.png"/><Relationship Id="rId15" Type="http://schemas.openxmlformats.org/officeDocument/2006/relationships/image" Target="media/a7ctyimhr8al71p1nxqz7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2026-03-15T15:10:50.245Z</dcterms:created>
  <dcterms:modified xsi:type="dcterms:W3CDTF">2026-03-15T15:10:50.245Z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