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9F1D20"/>
          <w:sz w:val="56"/>
          <w:szCs w:val="56"/>
          <w:rFonts w:ascii="Calibri" w:cs="Calibri" w:eastAsia="Calibri" w:hAnsi="Calibri"/>
        </w:rPr>
        <w:t xml:space="preserve">Thermo Fisher Scientific</w:t>
      </w:r>
    </w:p>
    <w:p>
      <w:pPr>
        <w:spacing w:after="100"/>
        <w:jc w:val="center"/>
      </w:pPr>
      <w:r>
        <w:rPr>
          <w:color w:val="333333"/>
          <w:sz w:val="32"/>
          <w:szCs w:val="32"/>
          <w:rFonts w:ascii="Calibri" w:cs="Calibri" w:eastAsia="Calibri" w:hAnsi="Calibri"/>
        </w:rPr>
        <w:t xml:space="preserve">www.thermofisher.com</w:t>
      </w:r>
    </w:p>
    <w:p>
      <w:pPr>
        <w:spacing w:after="400"/>
        <w:jc w:val="center"/>
      </w:pPr>
      <w:r>
        <w:rPr>
          <w:b/>
          <w:bCs/>
          <w:color w:val="333333"/>
          <w:sz w:val="36"/>
          <w:szCs w:val="36"/>
          <w:rFonts w:ascii="Calibri" w:cs="Calibri" w:eastAsia="Calibri" w:hAnsi="Calibri"/>
        </w:rPr>
        <w:t xml:space="preserve">AEM AMS → Edge Delivery Services</w:t>
      </w:r>
    </w:p>
    <w:p>
      <w:pPr>
        <w:spacing w:after="100"/>
        <w:jc w:val="center"/>
      </w:pPr>
      <w:r>
        <w:rPr>
          <w:b/>
          <w:bCs/>
          <w:color w:val="9F1D20"/>
          <w:sz w:val="44"/>
          <w:szCs w:val="44"/>
          <w:rFonts w:ascii="Calibri" w:cs="Calibri" w:eastAsia="Calibri" w:hAnsi="Calibri"/>
        </w:rPr>
        <w:t xml:space="preserve">Site Assessment &amp; Migration Analysis Report</w:t>
      </w:r>
    </w:p>
    <w:p>
      <w:pPr>
        <w:spacing w:after="800"/>
        <w:jc w:val="center"/>
      </w:pPr>
      <w:r>
        <w:rPr>
          <w:color w:val="666666"/>
          <w:sz w:val="24"/>
          <w:szCs w:val="24"/>
          <w:rFonts w:ascii="Calibri" w:cs="Calibri" w:eastAsia="Calibri" w:hAnsi="Calibri"/>
        </w:rPr>
        <w:t xml:space="preserve">Prepared: March 15, 2026</w:t>
      </w:r>
    </w:p>
    <w:p>
      <w:pPr>
        <w:jc w:val="center"/>
      </w:pPr>
      <w:r>
        <w:rPr>
          <w:b/>
          <w:bCs/>
          <w:color w:val="9F1D20"/>
          <w:sz w:val="28"/>
          <w:szCs w:val="28"/>
          <w:rFonts w:ascii="Calibri" w:cs="Calibri" w:eastAsia="Calibri" w:hAnsi="Calibri"/>
        </w:rPr>
        <w:t xml:space="preserve">CONFIDENTIAL</w:t>
      </w:r>
    </w:p>
    <w:p>
      <w:r>
        <w:br w:type="page"/>
      </w:r>
    </w:p>
    <w:p>
      <w:pPr>
        <w:pStyle w:val="Heading1"/>
        <w:spacing w:before="300" w:after="150"/>
      </w:pPr>
      <w:r>
        <w:t xml:space="preserve">Table of Contents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1. Executive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2. Current Technology Stack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3. Integrations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4. Page &amp; Asset Inventory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5. Templates Inventory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6. Blocks / Components Catalog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7. Page Counts by Template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8. Web Forms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9. Complex Use Cases &amp; Observations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10. Analysis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11. Migration Estimates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Thermo Fisher Scientific (thermofisher.com) is one of the world's largest scientific services companies, with a complex web presence built on Adobe Experience Manager (AEM) Managed Services (AMS). This report provides a comprehensive analysis of the site for migration to Adobe Edge Delivery Services (EDS).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Key Findings: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Total estimated URLs across all sitemaps: ~138,300+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EDS migration scope (CMS content pages): ~31,200 pages across 39 locales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Multiple technology stacks: AEM CMS, React SPA (commerce), WordPress (blog)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23 third-party integrations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35 unique blocks/components cataloged with 15+ design variations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11 distinct page templates identified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9 web form types across the 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  <w:rFonts w:ascii="Calibri" w:cs="Calibri" w:eastAsia="Calibri" w:hAnsi="Calibri"/>
        </w:rPr>
        <w:t xml:space="preserve">Estimated migration effort: 532-821 person-days (~6-9 months)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Current Technology Stack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following table outlines the complete technology stack currently powering thermofisher.com: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Layer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Technology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Experience Manager (AEM AMS)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6.5+, release/2025.9.0 - ETO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Frontend (CMS)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Vanilla JavaScript + jQuery Migrate 3.4.1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framework; custom Design System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Frontend (Commerce)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+ Redux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SPAs at /store/, /order/, /search/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Frontend (Blog)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WordPress + jQuery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Genesis theme "accelerating-science"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Design System + BEM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HelveticaNeue font stack, CSS custom properties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CDN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Akamai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Edge caching, TLS termination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Cloud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AWS (S3, ELB, Kubernetes)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Microservices orchestration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 Gateway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Apache APISIX (NGINX)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Request routing, rate limiting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Analytics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Experience Platform Web SDK (Alloy) v2.30.1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Loaded via Adobe Launch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Tag Management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Launch (2 properties)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Build date: 2026-03-10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Personalization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 (via Alloy)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Server-side + client-side targeting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OIDC + SAP Gigya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identity.thermofisher.com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Commerce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.NET + K8s microservices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commerce.thermofisher.com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Search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SearchBar v2023 + Lucidworks Solr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 at /search/results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Consent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TrustArc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consent.truste.com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Responsive Breakpoints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361px / 577px / 768px / 993px / 1201px / 1441px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 breakpoint system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3. Integrations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following third-party integrations and embedded services have been identified across the site: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Integration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Where Used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Experience Platform Web SDK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API/SDK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Launch (Tag Management)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(2 properties)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API/SDK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personalization, A/B testing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Audience Manager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audience segmentation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Akamai CDN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Infrastructure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edge caching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AWS S3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API/Storage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Static asset delivery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AWS ELB / Kubernetes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Infrastructure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Commerce microservices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SAP Gigya (Customer Data Cloud)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API/OAuth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Sign-in, registration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TrustArc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Embed/SDK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GDPR/CCPA consent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Medallia / Kampyle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Embed/SDK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feedback overlay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Google reCAPTCHA v3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Password reset form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Genesys Cloud Chat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Embed/API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Category/product pages - AI chat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Commerce 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Cart, pricing, recommendations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Recommendations Engine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Cart sidebar, product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Lucidworks Fusion / Solr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Search, autocomplete, typeahead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OIDC Identity Provider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Authentication flow, JWT tokens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Endeca (Search Focus Areas)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Faceted navigation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WordPress (Blog CMS)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CMS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/blog/ - Accelerating Science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Magellan GenAI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API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AI product Q&amp;A (feature-flagged)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MasterControl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External Link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Privacy policy document hosting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UserWay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Embed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Accessibility overlay widget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Digital Data Layer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Code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analytics data layer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DM Preload Offers System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Code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- dynamic offer injection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Integration Complexity Summary: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Target, Gigya Auth, Commerce API, Genesys Chat, Search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Launch, Audience Manager, TrustArc, Endeca, Digital Data Layer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reCAPTCHA, Medallia, AWS S3, MasterControl, UserWay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Page &amp; Asset Inventory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Page counts were derived from analysis of 11 sitemap hierarchies declared in robots.txt: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Technology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Estimated URLs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 EDS Scope?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Regional CMS Content (39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CMS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~31,200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- Primary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Store Product Catalog (239 sitemaps)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~47,800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SPA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FAQs (17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~17,000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SPA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Citations (13 sitemaps)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~13,000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SPA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Antibody Products (16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~14,750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App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Allergy Microsite (18 sitemaps)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CMS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~3,600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Clinical Mass Spec (17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CMS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~1,275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One Lambda (1 sitemap)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CMS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~641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Binding Site (12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CMS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~960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CAS Number Pages (6 sitemaps)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App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~570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App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WordPress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~1,000-3,000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Separate CMS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Antibody Video Sitemap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Mixed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~7,500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 - Video index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Total Estimated URLs: ~138,300+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1 EDS Migration Scope: ~31,200 CMS content pages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Phase 2 EDS Migration Scope: ~6,476 microsite pages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Estimated Digital 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Asset Type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Estimated Count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Images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~500,000+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Managed by PIM/DAM system; referenced via CDN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Marketing/Content Images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~50,000-100,000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AEM DAM - hero banners, category images, icons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PDF Documents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~10,000-25,000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SDS, CoA, protocols, datasheets, manuals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Video Assets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~7,500+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Hosted via video sitemap; YouTube/Vimeo embeds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SVG Icons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~200-500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UI icons, brand logos, navigation elements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Font Files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~20-30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HelveticaNeue variants (WOFF2)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5. Templates Inventory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following unique page templates have been identified across the site: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Template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Reasoning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URL(s)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Heavy personalization (Adobe Target), dynamic carousels, multiple API integrations, hero with dynamic content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thermofisher.com/us/en/home.html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L1 Category Page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Multi-column category card grid, quick links, breadcrumbs, standard component layout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thermofisher.com/us/en/home/life-science.html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L2+ Category / Subcategory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Icon cards, value props, image+link layouts, deeper hierarchy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thermofisher.com/us/en/home/life-science/antibodies.html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Sidebar nav, anchor jump nav, multi-section link lists, resources section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thermofisher.com/us/en/home/brands/thermo-scientific.html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Detail Page (PDP)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SPA, Redux state, real-time pricing, stock, citations, AI Q&amp;A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thermofisher.com/order/catalog/product/44-2ML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Antibody Product Page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custom app, specialized search, antibody data model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thermofisher.com/antibody/product/CD4-Antibody-...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Learning Center Hub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Educational modules, tutorial navigation, persistent learning menu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thermofisher.com/us/en/home/technical-resources/learning-centers.html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Support Hub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TOC navigation, expandable sections, multi-column link directory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thermofisher.com/us/en/home/support.html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Events / Webinars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 JS rendering, event registration, filters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thermofisher.com/us/en/home/events.html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Promotions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 personalization, dynamic offer cards, geo-filtering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thermofisher.com/us/en/home/products-and-services/promotions.html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Contact / Forms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React-based rendering, multi-step forms, validation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thermofisher.com/us/en/home/technical-resources/contact-us.html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Template Screenshots</w:t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Homepage Template</w:t>
      </w:r>
    </w:p>
    <w:p>
      <w:pPr>
        <w:spacing w:before="100" w:after="100"/>
        <w:jc w:val="center"/>
      </w:pPr>
      <w:r>
        <w:drawing>
          <wp:inline distT="0" distB="0" distL="0" distR="0">
            <wp:extent cx="4286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L1 Category Template (Life Sciences)</w:t>
      </w:r>
    </w:p>
    <w:p>
      <w:pPr>
        <w:spacing w:before="100" w:after="100"/>
        <w:jc w:val="center"/>
      </w:pPr>
      <w:r>
        <w:drawing>
          <wp:inline distT="0" distB="0" distL="0" distR="0">
            <wp:extent cx="4286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L2 Category Template (Antibodies)</w:t>
      </w:r>
    </w:p>
    <w:p>
      <w:pPr>
        <w:spacing w:before="100" w:after="100"/>
        <w:jc w:val="center"/>
      </w:pPr>
      <w:r>
        <w:drawing>
          <wp:inline distT="0" distB="0" distL="0" distR="0">
            <wp:extent cx="4286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Brand Page Template (Thermo Scientific)</w:t>
      </w:r>
    </w:p>
    <w:p>
      <w:pPr>
        <w:spacing w:before="100" w:after="100"/>
        <w:jc w:val="center"/>
      </w:pPr>
      <w:r>
        <w:drawing>
          <wp:inline distT="0" distB="0" distL="0" distR="0">
            <wp:extent cx="42862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Support Hub Template</w:t>
      </w:r>
    </w:p>
    <w:p>
      <w:pPr>
        <w:spacing w:before="100" w:after="100"/>
        <w:jc w:val="center"/>
      </w:pPr>
      <w:r>
        <w:drawing>
          <wp:inline distT="0" distB="0" distL="0" distR="0">
            <wp:extent cx="4286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00" w:after="150"/>
      </w:pPr>
      <w:r>
        <w:t xml:space="preserve">6. Blocks / Components Catalog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All reusable blocks and components identified across the site. Design variations of the same content model are grouped under a single block rather than listed as separate blocks.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6.1 Global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Header / Mega Navigation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Fixed header with multi-level mega-nav, search, account, cart, notifications, responsive drawer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Desktop mega-nav / Mobile drawer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Search Bar + Typeahead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Autocomplete with category provider selector, recent searches, signals tracking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Context-aware scope per page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Shopping Cart Sidebar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Right-sliding drawer with real-time cart, OOB recommendations API, pricing, quantity adjustment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Empty / Populated states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Footer (6-column)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Multi-column link groups, legal bar, copyright, country selector with flag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Cookie Consent Banner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TrustArc GDPR/CCPA consent with preference management modal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Messaging Bar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Sticky top promotional banner, dismissible, campaign-specific content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varies by campaign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Account Dropdown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Auth state-aware dropdown (guest sign-in vs. logged-in user details)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 states (guest / auth)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Notification Bell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Order update notifications, badge count, delete/clear actions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Empty / Populated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Chat Widget (Genesys)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AI-powered chat with eligibility API, async chunk-based loading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 (eligibility-gated)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Category/product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Feedback Tab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Fixed "Give Feedback" tab triggering Medallia/Kampyle overlay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6.2 Hero &amp; Banner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Hero Banner / Teaser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Full-width hero with bg image, headline, body, CTA. Supports Adobe Target personalization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Static / Dynamic (personalized)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Promotional Tile Strip (3-up)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Row of 3 small promotional tiles with icon, short copy, CTA link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6.3 Navigation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Breadcrumbs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Hierarchical path nav with "&gt;" separator, last item plain text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Depth varies by page level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non-homepage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Sidebar Navigation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Left-column categorized link lists (Popular products, Key apps, Resources)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varies by brand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Anchor / Jump Navigation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Horizontal in-page hash anchors with "Top" back-links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Items vary by content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Quick Links Row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Horizontal row of popular product links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varies per category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L1 Category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Table of Contents (Collapsible)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Expandable section navigator for support/reference content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Support pages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6.4 Content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Category Card Grid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Grid of heading+description cards for subcategories (4-column responsive)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L1 Category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19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Icon Link Cards (4-up)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Row of 4 icon+label navigation cards for sub-categories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 Category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Value Proposition Cards (3-up)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Feature cards with icon/number, heading, description, CTA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 Category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Image + Link List (Split)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Large image with adjacent application link columns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Image left / Image right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 Category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Link Grid (3-col with icons)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Three-column icon+text link grid for research areas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 Category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Resource Card Row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Cards with thumbnail, title, description, CTA. Horizontal or vertical layout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Horizontal / Vertical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Multiple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Text Block (Rich Text)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Standard heading + paragraph content with inline links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Various heading levels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Section Divider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Styled horizontal rule between content sections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Multiple pages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Categorized Link Lists (2-col)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Two-column bulleted link sections under heading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27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Resource Section + Thumbnails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Boxed section with 3 resource cards (70x70 thumbnail) + link list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6.5 E-Commerce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Online Offers Grid (4-up)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cards with pricing, discount badge, add-to-cart, pagination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29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Promotion Card Grid (2x2)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Promo cards with image, discount badge overlay, CTA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Badge style varies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Homepage, Support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New Products Row (3-up)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feature cards with image, title, description, CTA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Suggested Products (Cross-sell)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API-driven recommendation strip in cart sidebar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 (in cart)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6.6 Interactive &amp; Utility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Block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Variations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Reference URL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CTA Button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Multi-variant button/link: primary(red), secondary, outline, info, white, text-link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6+ visual variants, 4 sizes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Blog Post Cards (3-up)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Blog cards with thumbnail, title, date, "Read more" CTA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Featured Education Section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Mixed content tiles - interactive tool cards + simple text cards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Mixed content types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Preload Offers Engine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 dynamic content injection framework with fallback handling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Default / Personalized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7. Page Counts by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Template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Est. Pages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Auto-Migrate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Manual Migrate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(100%)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 per locale, heavy personalization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L1 Category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~800-1,200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Partial (70%)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Partial (30%)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Standard layout; dynamic offers manual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L2+ Category / Subcategory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~15,000-25,000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(90%)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~10% manual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US-EN industrial alone = 1,031 URLs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Brand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~300-450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(85%)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~15% manual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~12 brands x 39 locales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Detail (React SPA)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~47,800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Out of Scope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Out of Scope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React application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Antibody Product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~14,750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Out of Scope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Out of Scope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custom application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Learning Center Hubs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~100-200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Partial (50%)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(50%)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Educational content modules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Support Hub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~50-100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(100%)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 expandable content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Events / Webinars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~50-100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(100%)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JS-heavy dynamic rendering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Promotions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~50-100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(100%)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 personalization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Contact / Forms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~100-200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No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Yes (100%)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React-based forms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Migration Scope Summary: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Pages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Strategy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Automatically Migratable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~18,000-28,000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Standard templates, batch processing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Manual Migration Required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~4,000-7,000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Dynamic, personalized, custom logic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Out of Scope (Separate Apps)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~97,000+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SPA, WordPress, custom apps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1 Total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~31,200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CMS content pages across 39 locales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8. Web Forms Analysis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Analysis of all pages capturing user input via form controls: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Form Name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Location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Reasoning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Quick Order (Multi-Mode)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/store/v2/quick-order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 input modes (manual/bulk/paste), dynamic autocomplete, conditional fields, dynamic rows, cart API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Return / Report Issue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/store/order/report/issues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15+ fields, 5 sections, cascading dropdowns, drag-drop file upload, conditional validation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Sign-In (Multi-Step Auth)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identity.thermofisher.com/signin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Multi-step OAuth/OIDC, Gigya integration, JWT tokens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Account Registration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identity.thermofisher.com/registration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Gigya-managed, password strength meter, country selector, reCAPTCHA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Contact Us Form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/store/v2/contact-us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SPA, multi-section layout, validation, file attachment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Global Site Search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Header (all pages)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Advanced autocomplete, category filtering, signals capture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Password Reset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identity.thermofisher.com/reset-password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Single field + reCAPTCHA v3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Feedback (Medallia)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Footer "Report a Site Issue"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Third-party managed overlay (Kampyle SDK)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Add to Cart / Quantity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detail pages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Single numeric spinbutton + "Add to Cart" button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Forms Complexity Summary: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Forms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Quick Order, Return/Report Issue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Sign-In, Registration, Contact Us, Site Search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Password Reset, Feedback (Medallia), Add to Cart</w:t>
            </w:r>
          </w:p>
        </w:tc>
      </w:tr>
    </w:tbl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Note: Legacy standalone form URLs (/global/forms/inquiry.html, /global/forms/sample-request.html, /global/forms/quote-request.html, /global/forms/newsletter-signup.html) all return 404 — Thermo Fisher has consolidated forms into JavaScript-rendered experiences within the /store/v2/ framework.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Complex Use Cases &amp; Observations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following complex behaviors require special attention during migration: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#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Complex Use Case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Instances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Where Found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Why Complex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 Personalization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~31,200+ pages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Preload Offers system on every page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 content varies by user segment, geography, behavior. EDS lacks native server-side personalization at this scale.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React SPA Commerce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~78,000+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/order/, /store/, /search/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React apps with Redux. NOT AEM pages — need independent architecture or continued SPA operation.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Multi-Locale Content (39 locales)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39 locale variants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CMS pages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translation, country-specific pricing, regional compliance (GDPR vs CCPA). Robust locale management needed.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 Cart Integration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Cart sidebar, OOB recommendations API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Real-time cart state synced across all pages via API. Requires client-side JS integration with custom commerce APIs.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Authentication (OIDC+Gigya)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auth flows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identity.thermofisher.com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identity provider with OIDC, JWT. Contracted pricing, order history depend on auth state.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AI-Powered Features (Magellan)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Product/Search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Feature-flagged globally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Semantic search, AI product Q&amp;A in testing. Rapidly evolving; may change during migration.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Genesys Cloud Chat Bot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~5,000+ pages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Category &amp; product pages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AI chat with eligibility API. Async loading, chunk-based JS/CSS, and API integration.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Dynamic Offer System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window.preloadOffers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Client-side Adobe Target content injection with timeout/fallback. Drives hero banners, offer bars, promotions.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Sub-sites (Separate Templates)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 sub-sites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Allergy, One Lambda, Binding Site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Separate AEM content trees, independent nav/branding. Need separate EDS configs.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E-commerce Pricing &amp; Stock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pages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Pricing &amp; stock APIs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Real-time pricing, inventory, contracted pricing, multi-currency. Critical for buyer experience.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10. Analysis Summary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Page Templates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Blocks / Components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Design Variations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Third-Party Integrations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12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Web Forms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Complex Use Cases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Site Scale Overview: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Metric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Total Estimated URLs (all sitemaps)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~138,300+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CMS Content Pages (EDS Phase 1 Scope)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~31,200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Microsite Pages (EDS Phase 2 Scope)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~6,476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Product Catalog (React SPA - separate)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~77,800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Antibody Products (Custom app - separate)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~14,750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Blog (WordPress - separate)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~1,000-3,000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Locales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39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Estimated DAM Assets (images)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~50,000-100,000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Estimated PDF Documents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~10,000-25,000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11. Migration Estimates</w:t>
      </w:r>
    </w:p>
    <w:p>
      <w:pPr>
        <w:pStyle w:val="Heading2"/>
        <w:spacing w:before="300" w:after="150"/>
      </w:pPr>
      <w:r>
        <w:t xml:space="preserve">Scope Definition</w:t>
      </w:r>
    </w:p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The EDS migration scope covers AEM CMS content pages only (~31,200 pages in Phase 1). React commerce SPA, WordPress blog, and antibody application remain as separate systems operating independently.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Effort Breakdown by Phase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Phase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Person-Days (Range)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Calendar Duration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Foundation &amp; Setup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EDS project setup, CI/CD, environments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5-10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Design system extraction &amp; CSS custom properties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Global header / mega-navigation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Global footer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Cookie consent (TrustArc) integration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 week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1 Subtotal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41-65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3-4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Block Development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Low-complexity blocks (20 blocks × 2-3 days)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40-60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Medium-complexity blocks (9 blocks × 5-8 days)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45-72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High-complexity blocks (6 blocks × 10-15 days)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60-90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Design variations (15 variants × 1-1.5 days)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 Subtotal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160-244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8-12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Template Implementation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Homepage template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Category templates (L1 + L2)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Brand page template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Learning center, Support, Events, Promos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Contact/Forms template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3 Subtotal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48-74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Integrations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Adobe Analytics / Launch integration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Adobe Target / personalization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Commerce API integration (cart, pricing)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Authentication (OIDC/Gigya)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Search integration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Chat, Medallia, UserWay, reCAPTCHA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4 Subtotal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70-106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4-6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Migration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Migration script development &amp; testing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Automated migration (~18,000-28,000 pages)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20-30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Manual migration (~4,000-7,000 pages)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40-70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Multi-locale content (39 locales)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20-30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Asset migration (images, documents)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5 Subtotal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105-165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Forms Migration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Low-complexity forms (3)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Medium-complexity forms (4)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12-20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High-complexity forms (2)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6 Subtotal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25-41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QA &amp; Testing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Visual regression testing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Functional testing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15-20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Performance testing (Lighthouse 100)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Accessibility testing (WCAG 2.1 AA)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UAT support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7 Subtotal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60-90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4-6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Deployment &amp; Cutover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Staging environment &amp; validation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Redirect mapping (URL mapping)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10-15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DNS / CDN cutover planning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  Go-live support &amp; monitoring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8 Subtotal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23-36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 weeks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Total Estimates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Person-Days (Range)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Calendar Duration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1: Foundation &amp; Setup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41-65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3-4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2: Block Development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160-244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8-12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3: Template Implementation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48-74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3-5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4: Integrations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70-106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4-6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5: Content Migration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105-165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5-8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6: Forms Migration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25-41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7: QA &amp; Testing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60-90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4-6 weeks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Phase 8: Deployment &amp; Cutover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23-36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 weeks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532-821 person-days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~6-9 months (parallel phases)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t xml:space="preserve">Recommended Team Composition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Count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Focus Area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Technical Lead / Architect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Architecture, integration design, decisions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Senior EDS Developer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Block development, template implementation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Frontend Developer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2-3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CSS/design system, responsive, a11y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Content Migration Engineer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1-2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Import scripts, batch processing, validation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QA Engineer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1-2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Automated testing, visual regression, performance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Integration Developer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Adobe Target, analytics, commerce APIs, auth</w:t>
            </w:r>
          </w:p>
        </w:tc>
      </w:tr>
    </w:tbl>
    <w:p>
      <w:pPr>
        <w:spacing w:after="120"/>
      </w:pPr>
      <w:r>
        <w:rPr>
          <w:sz w:val="22"/>
          <w:szCs w:val="22"/>
          <w:rFonts w:ascii="Calibri" w:cs="Calibri" w:eastAsia="Calibri" w:hAnsi="Calibri"/>
        </w:rPr>
        <w:t xml:space="preserve">Recommended team size: 8-12 people</w:t>
      </w:r>
    </w:p>
    <w:p>
      <w:pPr>
        <w:spacing w:after="200"/>
      </w:pPr>
    </w:p>
    <w:p>
      <w:pPr>
        <w:pStyle w:val="Heading2"/>
        <w:spacing w:before="300" w:after="150"/>
      </w:pPr>
      <w:r>
        <w:t xml:space="preserve">Key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Risk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Impact</w:t>
            </w:r>
          </w:p>
        </w:tc>
        <w:tc>
          <w:tcPr>
            <w:shd w:color="9F1D20" w:val="solid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Mitigation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Personalization complexity (Adobe Target)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Plan edge-based personalization early; use EDS experimentation features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Commerce SPA dependency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Keep React SPA separate; integrate via client-side JS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39-locale content volume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Automate batch processing; prioritize top 5-10 locales for initial launch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Custom identity system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Plan auth integration early; may require token relay proxy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AI features rapidly evolving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Feature-flag based integration; expect changes during migration</w:t>
            </w:r>
          </w:p>
        </w:tc>
      </w:tr>
      <w:tr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Blog (WordPress) separate CMS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Low</w:t>
            </w:r>
          </w:p>
        </w:tc>
        <w:tc>
          <w:tcPr>
            <w:shd w:color="FAFAFA" w:val="solid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  <w:rFonts w:ascii="Calibri" w:cs="Calibri" w:eastAsia="Calibri" w:hAnsi="Calibri"/>
              </w:rPr>
              <w:t xml:space="preserve">Maintain as-is or plan separate migration project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i/>
          <w:iCs/>
          <w:sz w:val="22"/>
          <w:szCs w:val="22"/>
          <w:rFonts w:ascii="Calibri" w:cs="Calibri" w:eastAsia="Calibri" w:hAnsi="Calibri"/>
        </w:rPr>
        <w:t xml:space="preserve">— End of Report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Confidential —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  <w:rFonts w:ascii="Calibri" w:cs="Calibri" w:eastAsia="Calibri" w:hAnsi="Calibri"/>
      </w:rPr>
      <w:t xml:space="preserve">Thermo Fisher Scientific — EDS Migration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9F1D20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333333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ithqa8zugxaeomzvlhdu.png"/><Relationship Id="rId9" Type="http://schemas.openxmlformats.org/officeDocument/2006/relationships/image" Target="media/aoersnukvgc2pcl361sg6.png"/><Relationship Id="rId10" Type="http://schemas.openxmlformats.org/officeDocument/2006/relationships/image" Target="media/afennyozylxbqip4qsxlp.png"/><Relationship Id="rId11" Type="http://schemas.openxmlformats.org/officeDocument/2006/relationships/image" Target="media/mlb1euy4ivrspqumqcsfv.png"/><Relationship Id="rId12" Type="http://schemas.openxmlformats.org/officeDocument/2006/relationships/image" Target="media/vqw6xh47hotbpooi_e8r8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 Fisher Scientific - AEM to EDS Migration Analysis Report</dc:title>
  <dc:creator>Adobe EDS Migration Assessment</dc:creator>
  <dc:description>Comprehensive site assessment for migrating thermofisher.com from AEM AMS to Edge Delivery Services</dc:description>
  <cp:lastModifiedBy>Un-named</cp:lastModifiedBy>
  <cp:revision>1</cp:revision>
  <dcterms:created xsi:type="dcterms:W3CDTF">2026-03-15T13:24:08.644Z</dcterms:created>
  <dcterms:modified xsi:type="dcterms:W3CDTF">2026-03-15T13:24:08.644Z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