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56"/>
          <w:szCs w:val="56"/>
          <w:rFonts w:ascii="Calibri" w:cs="Calibri" w:eastAsia="Calibri" w:hAnsi="Calibri"/>
        </w:rPr>
        <w:t xml:space="preserve">NovoCare.com</w:t>
      </w:r>
    </w:p>
    <w:p>
      <w:pPr>
        <w:jc w:val="center"/>
      </w:pPr>
      <w:r>
        <w:rPr>
          <w:b/>
          <w:bCs/>
          <w:sz w:val="44"/>
          <w:szCs w:val="44"/>
          <w:rFonts w:ascii="Calibri" w:cs="Calibri" w:eastAsia="Calibri" w:hAnsi="Calibri"/>
        </w:rPr>
        <w:t xml:space="preserve">Migration Analysis Report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Comprehensive Site Inventory &amp; AEM as a Cloud Service Migration Scoping</w:t>
      </w:r>
    </w:p>
    <w:p>
      <w:pPr>
        <w:spacing w:before="800"/>
        <w:jc w:val="center"/>
      </w:pPr>
      <w:r>
        <w:rPr>
          <w:sz w:val="24"/>
          <w:szCs w:val="24"/>
        </w:rPr>
        <w:t xml:space="preserve">Date: May 4, 2026</w:t>
      </w:r>
    </w:p>
    <w:p>
      <w:pPr>
        <w:jc w:val="center"/>
      </w:pPr>
      <w:r>
        <w:rPr>
          <w:sz w:val="24"/>
          <w:szCs w:val="24"/>
        </w:rPr>
        <w:t xml:space="preserve">Primary Site: https://www.novocare.com/</w:t>
      </w:r>
    </w:p>
    <w:p>
      <w:pPr>
        <w:jc w:val="center"/>
      </w:pPr>
      <w:r>
        <w:rPr>
          <w:sz w:val="24"/>
          <w:szCs w:val="24"/>
        </w:rPr>
        <w:t xml:space="preserve">HCP Subsite: https://www.novocare.com/hcp.html</w:t>
      </w:r>
    </w:p>
    <w:p>
      <w:pPr>
        <w:spacing w:before="1200"/>
      </w:pP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NovoCare.com is Novo Nordisk's patient and healthcare professional support portal serving 361 indexed pages across 7 therapeutic areas. The site is currently built on Adobe Experience Manager (AEM 6.x) with a traditional/classic UI approach. Migration to AEM as a Cloud Service with Edge Delivery Services represents a significant modernization opportunity, involving deeply integrated pharmacy services, insurance verification tools, and multi-step eligibility workflows.</w:t>
      </w:r>
    </w:p>
    <w:p>
      <w:pPr>
        <w:spacing w:after="200"/>
      </w:pPr>
      <w:r>
        <w:rPr>
          <w:b/>
          <w:bCs/>
        </w:rPr>
        <w:t xml:space="preserve">Key Metrics:</w:t>
      </w:r>
    </w:p>
    <w:p>
      <w:r>
        <w:t xml:space="preserve">  • 361 total pages (265 patient-facing, 96 HCP)</w:t>
      </w:r>
    </w:p>
    <w:p>
      <w:r>
        <w:t xml:space="preserve">  • 89 forms (54 complex, 23 medium, 12 simple)</w:t>
      </w:r>
    </w:p>
    <w:p>
      <w:r>
        <w:t xml:space="preserve">  • 20 third-party integrations</w:t>
      </w:r>
    </w:p>
    <w:p>
      <w:r>
        <w:t xml:space="preserve">  • 34 unique UI components/blocks</w:t>
      </w:r>
    </w:p>
    <w:p>
      <w:r>
        <w:t xml:space="preserve">  • 18 page templates</w:t>
      </w:r>
    </w:p>
    <w:p>
      <w:r>
        <w:t xml:space="preserve">  • ~195 digital assets</w:t>
      </w:r>
    </w:p>
    <w:p>
      <w:r>
        <w:t xml:space="preserve">  • Estimated effort: 535 person-days (~34 weeks, 4 person team)</w:t>
      </w:r>
    </w:p>
    <w:p>
      <w:r>
        <w:t xml:space="preserve">  • Estimated cost: ~$789,600</w:t>
      </w:r>
    </w:p>
    <w:p>
      <w:pPr>
        <w:pStyle w:val="Heading1"/>
        <w:spacing w:before="400"/>
      </w:pPr>
      <w:r>
        <w:rPr>
          <w:b/>
          <w:bCs/>
        </w:rPr>
        <w:t xml:space="preserve">1. Current Technology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Adobe Experience Manager (AEM 6.x Classic)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paths: /content/dam/novonordisk/novocare/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Vanilla HTML/CSS/JS (server-rendered)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SPA framework detected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Privacy/Consent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OneTrust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 portal integration confirmed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Adobe Analytics (implied)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Adobe ecosystem, cookie consent categories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Personalization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Limited/None detected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Adobe Target evidence found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CDN/Hosting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Akamai (likely)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pharma standard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AEM Forms + Third-party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eligibility forms, CoverMyMeds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Platform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AssistRx + CoAssist + CenterWell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Three-vendor pharmacy fulfillment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Verification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+ CoverMyMeds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payer system integration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Email/SMS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+ ConnectiveRx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savings programs (shortcode 21848)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Path-based (/es/)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Spanish content for Bleeding Disorders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1.1 Pages by Thematic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Therapeutic Area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Patient Pages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HCP Pages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Diabetes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Obesity (Saxenda + Wegovy)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Growth-Related Disorders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Bleeding Disorders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PH1 (Primary Hyperoxaluria)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Women's Health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General/Cross-Product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361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1.2 Pages by Data Design (Static vs Dynamic)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Content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Educational, product info, insurance education, resources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Dynamic/Tool-Based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checkers, eligibility forms, savings enrollment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Semi-Dynamic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23%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pages with conditional content, pharmacy pages</w:t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1.3 Pages Integrated with eCommerce/Pharmacy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ordering/fulfillment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Ozempic pharmacy, MASH pharmacy, general pharmacy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card enrollment (transactional)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 pages with multi-step forms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verification tools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Check-coverage pages with real-time payer lookups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eCommerce-adjacent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1.4 Pages Fed from External Systems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Source System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Page Count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Insurance/Payer verification APIs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coverage check results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CoverMyMeds (PA system)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 Authorization workflow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NPI Registry (CMS database)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verification lookups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CoAssist/AssistRx (Pharmacy)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Prescription routing, fulfillment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ConnectiveRx (Savings processing)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card adjudication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externally-fed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~102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2"/>
        <w:spacing w:before="400"/>
      </w:pPr>
      <w:r>
        <w:rPr>
          <w:b/>
          <w:bCs/>
        </w:rPr>
        <w:t xml:space="preserve">1.5 Design System Analysis</w:t>
      </w:r>
    </w:p>
    <w:p>
      <w:r>
        <w:rPr>
          <w:b w:val="false"/>
          <w:bCs w:val="false"/>
        </w:rPr>
        <w:t xml:space="preserve">Current State: No formal design system detected. The site uses:</w:t>
      </w:r>
    </w:p>
    <w:p>
      <w:r>
        <w:t xml:space="preserve">  • Custom CSS with no framework (no Tailwind, Bootstrap, or Material)</w:t>
      </w:r>
    </w:p>
    <w:p>
      <w:r>
        <w:t xml:space="preserve">  • Inconsistent component patterns between therapeutic areas</w:t>
      </w:r>
    </w:p>
    <w:p>
      <w:r>
        <w:t xml:space="preserve">  • SVG icon library (custom, non-standardized)</w:t>
      </w:r>
    </w:p>
    <w:p>
      <w:r>
        <w:t xml:space="preserve">  • Brand-specific color schemes per product</w:t>
      </w:r>
    </w:p>
    <w:p>
      <w:r>
        <w:t xml:space="preserve">  • Responsive design via custom media queries</w:t>
      </w:r>
    </w:p>
    <w:p>
      <w:r>
        <w:t xml:space="preserve">  • Character-based educational modules (Gabby, Max, Beth, Tom, Chris)</w:t>
      </w:r>
    </w:p>
    <w:p>
      <w:pPr>
        <w:pStyle w:val="Heading1"/>
        <w:spacing w:before="600"/>
      </w:pPr>
      <w:r>
        <w:rPr>
          <w:b/>
          <w:bCs/>
        </w:rPr>
        <w:t xml:space="preserve">2. Templates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Reasoning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Example URL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interactive modules, guided wizard, conditional content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Homepage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Card-based layout, simpler than patient homepage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novocare.com/hcp.html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 Area Landing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grid, enrollment steps, multi-product nav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novocare.com/diabetes/home.html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Product-specific content, savings/coverage CTAs, ISI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novocare.com/diabetes/products/ozempic.html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Offer Listing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card grid, category separation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novocare.com/diabetes/help-with-costs/savings-offers.html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- Patient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form wizard, real-time API, provider search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novocare.com/diabetes/products/ozempic/check-coverage.html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- HCP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NPI lookup, payer integration, PA workflow linkage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novocare.com/hcp/growth-related-disorders/check-coverage/echeck.html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Eligibility/Enrollment Form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registration, government screening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novocare.com/diabetes/products/ozempic/savings-offer.html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Education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Quiz module, character personas, interactive FAQ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novocare.com/diabetes/insurance-information/exploring-insurance/about.html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Type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educational content, consistent template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novocare.com/diabetes/insurance-information/insurance-types/commercial.html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Pharmacy/eCommerce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Pricing, payment routing, delivery scheduling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novocare.com/diabetes/products/ozempic/pharmacy.html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Resource/Education 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content, safe disposal, needle options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novocare.com/ph1/resources/safe-disposal.html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a Doctor/Provider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provider cards, telehealth links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novocare.com/patient/treatment/find-doctor.html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Promotion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store links, QR code, feature highlights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novocare.com/patient/support/wgt-app.html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Disease Area Landing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Professional tools, PA/coverage CTAs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novocare.com/hcp/diabetes/home.html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 Authorization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CoverMyMeds integration, workflow guidance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novocare.com/hcp/diabetes/start-a-pa.html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Spanish Language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Translation overlay on existing templates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novocare.com/content/novocare/es/bleeding-disorders/home.html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Contact/Support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informational 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novocare.com/contact-us.html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3. Blocks/Components Catalog</w:t>
      </w:r>
    </w:p>
    <w:p>
      <w:pPr>
        <w:pStyle w:val="Heading2"/>
        <w:spacing w:before="200"/>
      </w:pPr>
      <w:r>
        <w:rPr>
          <w:b/>
          <w:bCs/>
        </w:rPr>
        <w:t xml:space="preserve">3.1 Navigation &amp; Layout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Standard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Edge Worker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UI Extension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Header/Nav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Mega-menu with therapeutic taxonomy, responsive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Collapsible left-nav with expandable sections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Multi-column legal, privacy, language switcher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Breadcrumb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Hierarchical path navigation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3.2 Hero &amp; Banner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Standard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Edge Worker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UI Extension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Full-width with headline, subhead, CTA, responsive images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Hero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Brand-specific hero with product imagery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Alert/Notice Banner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Supply disruption notices, time-limited offers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banner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3.3 Card &amp; Grid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Standard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Edge Worker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UI Extension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 Card Grid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 column icon+text cards with CTAs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Therapeutic Area Cards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branded cards with explore CTAs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Selection Cards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logo cards for check entry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Provider/Telehealth Cards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cards with method icons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Product Cards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 logo + dosage + Save CTA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3.4 Interactive/Tool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Standard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Edge Worker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UI Extension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Wizard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form, real-time insurance verification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Payer APIs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 Enrollment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registration, govt screening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ConnectiveRx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NPI Lookup Tool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search with CMS registry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CMS NPI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Quiz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4-question interactive quiz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Guided Help Wizard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questionnaire routing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Possible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Ordering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Payment, delivery, pricing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- 3 vendors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3.5 Content &amp; Educational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Standard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Edge Worker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UI Extension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ISI (Safety Info)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Expandable/collapsible warnings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Accordion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 Dialogue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 speech bubbles (Gabby etc)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Step-by-Step Process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Numbered sequential steps with icons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Columns/steps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 Workflow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6-7 step visual process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block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FAQ/Accordion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Expandable Q&amp;A sections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accordion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Callout Box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Highlighted educational content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callout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Table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 pricing display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variant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Possible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Sharing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Facebook, Twitter, LinkedIn, email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embed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3.6 Modal &amp; Utility Components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Standard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Edge Worker</w:t>
            </w:r>
          </w:p>
        </w:tc>
        <w:tc>
          <w:tcPr>
            <w:tcW w:type="dxa" w:w="125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UI Extension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Warning Modal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Leaving NovoCare.com dialog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JS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Definition Popup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Inline term definitions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tooltip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Cookie Consent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OneTrust banner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Switcher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EN/ES toggle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nav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Download Link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 and Med Guide links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link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Store Badges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iOS/Android + QR code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embed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Click-to-Call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Phone with tel: protocol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link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Enrollment CTA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Shortcode savings activation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CTA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SMS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4. Page Counts by Template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Total Pages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Auto-Migratable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Manual Migration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interactive wizard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Homepage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card layout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Disease Area Landing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Enrollment workflows vary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standardized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Offer Listing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Standardized cards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- Patient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API forms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- HCP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NPI + payer integration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Eligibility/Enrollment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Multi-step, third-party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Education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static; quiz pages custom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Type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Highly standardized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Pharmacy/eCommerce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ordering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Resource/Education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static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a Doctor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Third-party integrations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Promotion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linking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Disease Landing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Standardized with variations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 Authorization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CoverMyMeds integration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Spanish Language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Translation overlay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Contact/Support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static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Terms/Legal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legal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Other/Archive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~131 (36%)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~230 (64%)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5. Integrations Analysis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Client/Server</w:t>
            </w:r>
          </w:p>
        </w:tc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Active/Legacy</w:t>
            </w:r>
          </w:p>
        </w:tc>
        <w:tc>
          <w:tcPr>
            <w:tcW w:type="dxa" w:w="1428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Pages Affected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OneTrust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Embed/Plugin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Adobe Analytics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Tag/Script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CoverMyMeds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API/Redirect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PA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CMS NPI Registry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HCP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Payer APIs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coverage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ConnectiveRx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API/Service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 savings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SS&amp;C Health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API/Service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Claims adjudication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AssistRx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API/Service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registration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CoAssist Pharmacy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API/Service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Rx dispensing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CenterWell Pharmacy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API/Service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Fulfillment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savings (21848)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results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AEM DAM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assets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novo-pi.com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product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NovoReimburse.com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Svc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Reimbursement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WeGo_Together App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Link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Telehealth Partners (8)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doctor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FDA MedWatch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pages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Healthgrades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Link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 doctor</w:t>
            </w:r>
          </w:p>
        </w:tc>
      </w:tr>
      <w:tr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Store/Google Play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Link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142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pages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6. Forms Analysis</w:t>
      </w:r>
    </w:p>
    <w:p>
      <w:pPr>
        <w:pStyle w:val="Heading2"/>
      </w:pPr>
      <w:r>
        <w:rPr>
          <w:b/>
          <w:bCs/>
        </w:rPr>
        <w:t xml:space="preserve">6.1 Form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Sample URL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 Required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(Patient)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/diabetes/products/ozempic/check-coverage.html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Payer APIs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(HCP eCheck)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/hcp/growth-related-disorders/check-coverage/echeck.html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Payer + NPI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(QuickCheck)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/hcp/bleeding-disorders/quickcheck.html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Simplified payer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Card Enrollment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/diabetes/products/ozempic/savings-offer.html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ConnectiveRx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 Verification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/eligibility/diabetes-savings-card.html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SS&amp;C Health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Request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/mash/check-coverage/coverage-request.html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Payer systems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Sign-Up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/diabetes/sign-up-for-support.html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CRM/email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Enrollment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/eligibility/pharmacy.html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AssistRx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Guided Help Wizard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(client-side)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Quiz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/insurance-information/exploring-insurance/about.html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6.2 Complexity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 (1-2 steps, no API)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Sign-up forms, quiz modules, contact forms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(2-3 steps, basic API)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 verification, coverage requests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(4+ steps, real-time API)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wizards, savings enrollment, pharmacy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7. Offers &amp; Personalization Analysis</w:t>
      </w:r>
    </w:p>
    <w:p>
      <w:pPr>
        <w:spacing w:after="200"/>
      </w:pPr>
      <w:r>
        <w:rPr>
          <w:i/>
          <w:iCs/>
        </w:rPr>
        <w:t xml:space="preserve">No Adobe Target or equivalent personalization engine detected. Content personalization is achieved through URL-based routing, form-based eligibility determination, and date-based promotional content. No complex personalization migration required.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Backend Required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 Pricing Display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dynamic pricing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Eligibility-Based Content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program rules engine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Insurance-Type Routing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- payer lookup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Product-Specific Messaging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Time-Limited Offers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- date-based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Supply/Availability Notices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Possible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8. Complex Use Cases &amp; Observations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Instances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Why Complex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Insurance Verification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coverage check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API to multiple payer systems, NPI, timeout handling, email fallback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Multi-Vendor Pharmacy Platform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vendors (AssistRx, CoAssist, CenterWell), e-prescribing, payment, delivery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Card Adjudication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Eligibility/savings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ConnectiveRx + SS&amp;C Health, BIN/PCN/GRP codes, govt exclusion logic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CoverMyMeds PA Workflow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PA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Cross-platform SSO, pre-populated forms, external registration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Multi-Step Eligibility Screening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enrollment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Sequential validation, branching disqualification paths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NPI Provider Registry Lookup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HCP tools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CMS database, auto-complete, verification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Spanish Language Content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/content/novocare/es/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Path-based i18n, partial coverage, URL differences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 Education System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Insurance exploration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personas, speech bubble UI, quiz, progressive disclosure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WeGo_Together App Integration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Patient/support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 linking, QR codes, cross-platform tracking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 Pharmacy Pricing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pages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 by insurance, dosage form, promo period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9. Outlier Scenarios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66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666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666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666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1666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EDS Approach</w:t>
            </w:r>
          </w:p>
        </w:tc>
        <w:tc>
          <w:tcPr>
            <w:tcW w:type="dxa" w:w="1666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Effort (days)</w:t>
            </w:r>
          </w:p>
        </w:tc>
      </w:tr>
      <w:tr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Coverage Check Tool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AEM component + payer API proxy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worker + custom form block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NovoCare Pharmacy Ordering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vendor APIs integration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Microservice + Edge worker + checkout block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Card Activation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ConnectiveRx integration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worker + custom form + PDF gen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 Pre-Population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data to CoverMyMeds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layer + secure token passing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Insurance Quiz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 JS + AEM component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EDS block + client-side logic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OUTLIER EFFORT</w:t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166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10. Migration Estimates</w:t>
      </w:r>
    </w:p>
    <w:p>
      <w:pPr>
        <w:pStyle w:val="Heading2"/>
      </w:pPr>
      <w:r>
        <w:rPr>
          <w:b/>
          <w:bCs/>
        </w:rPr>
        <w:t xml:space="preserve">10.1 Effort Breakdown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Work Stream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Items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Effort (Days)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System Creation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components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tokens, component library, responsive framework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Development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templates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EDS page templates with block definitions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Block Development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blocks (Low-Med)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Cards, heroes, accordions, navigation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 Block Development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blocks (High)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Forms, wizards, tools, pharmacy flows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integrations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workers, API proxies, third-party connections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Migration - Automated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131 pages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Scripted migration with validation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Migration - Manual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230 pages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creation and QA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Localization (Spanish)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pages + framework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i18n framework + content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&amp; Testing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Cross-browser, accessibility, integration testing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100, CWV optimization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UAT &amp; Stakeholder Review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validation cycles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&amp; Training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guides, developer docs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10.2 Phase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Effort (Person-Days)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Duration (Weeks)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Team Size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1: Design &amp; Architecture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2: Core Development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3: Integration &amp; Complex Features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4: Content Migration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5: QA, UAT &amp; Launch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 person-days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~34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avg</w:t>
            </w:r>
          </w:p>
        </w:tc>
      </w:tr>
    </w:tbl>
    <w:p>
      <w:pPr>
        <w:pStyle w:val="Heading2"/>
        <w:spacing w:before="200"/>
      </w:pPr>
      <w:r>
        <w:rPr>
          <w:b/>
          <w:bCs/>
        </w:rPr>
        <w:t xml:space="preserve">10.3 Cost Estimate (Blended Rate)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Rate/Day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Days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$1,800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$72,000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Frontend Developer (x2)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$1,500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$300,000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Developer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$1,600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$160,000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UX/Design Lead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$1,400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$70,000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Migration Specialist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$1,000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$80,000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$1,400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$47,600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ESTIMATED COST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~$789,600</w:t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11. Recommendations</w:t>
      </w:r>
    </w:p>
    <w:p>
      <w:pPr>
        <w:spacing w:before="200"/>
      </w:pPr>
      <w:r>
        <w:rPr>
          <w:b/>
          <w:bCs/>
        </w:rPr>
        <w:t xml:space="preserve">Migration Strategy:</w:t>
      </w:r>
    </w:p>
    <w:p>
      <w:r>
        <w:t xml:space="preserve">1. Phased approach - Start with static content to establish patterns, then tackle interactive tools</w:t>
      </w:r>
    </w:p>
    <w:p>
      <w:r>
        <w:t xml:space="preserve">2. Edge Worker architecture - Critical for Coverage Check, Pharmacy, and Savings Card workflows</w:t>
      </w:r>
    </w:p>
    <w:p>
      <w:r>
        <w:t xml:space="preserve">3. Microservice layer - Required for pharmacy platform (3-vendor integration) and insurance verification</w:t>
      </w:r>
    </w:p>
    <w:p>
      <w:r>
        <w:t xml:space="preserve">4. Design system first - Establish component library before content migration</w:t>
      </w:r>
    </w:p>
    <w:p>
      <w:r>
        <w:t xml:space="preserve">5. HCP site separation - Treat as distinct workstream with shared design tokens</w:t>
      </w:r>
    </w:p>
    <w:p>
      <w:pPr>
        <w:spacing w:before="200"/>
      </w:pPr>
      <w:r>
        <w:rPr>
          <w:b/>
          <w:bCs/>
        </w:rPr>
        <w:t xml:space="preserve">Critical Path Items:</w:t>
      </w:r>
    </w:p>
    <w:p>
      <w:r>
        <w:t xml:space="preserve">  • Insurance payer API access and documentation (blocking 32 pages)</w:t>
      </w:r>
    </w:p>
    <w:p>
      <w:r>
        <w:t xml:space="preserve">  • ConnectiveRx/SS&amp;C Health integration docs (blocking 44 pages)</w:t>
      </w:r>
    </w:p>
    <w:p>
      <w:r>
        <w:t xml:space="preserve">  • CoAssist/AssistRx pharmacy API access (blocking 13 pages)</w:t>
      </w:r>
    </w:p>
    <w:p>
      <w:r>
        <w:t xml:space="preserve">  • CoverMyMeds partnership agreement for EDS (blocking 5 pages)</w:t>
      </w:r>
    </w:p>
    <w:p>
      <w:pPr>
        <w:pStyle w:val="Heading1"/>
        <w:spacing w:before="600"/>
      </w:pPr>
      <w:r>
        <w:rPr>
          <w:b/>
          <w:bCs/>
        </w:rPr>
        <w:t xml:space="preserve">Appendix A: Asset Inventory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Asset Type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Estimated Count</w:t>
            </w:r>
          </w:p>
        </w:tc>
        <w:tc>
          <w:tcPr>
            <w:tcW w:type="dxa" w:w="3333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logos/brand assets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/content/dam/novonordisk/novocare/Logos/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Icon library (SVG)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/content/dam/novonordisk/novocare/icons/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Hero/banner images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/content/dam/novonordisk/novocare/slabs/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 illustrations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Educational section assets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documents (PI, Med Guides)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novo-pi.com (external)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photography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~25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pages</w:t>
            </w:r>
          </w:p>
        </w:tc>
      </w:tr>
      <w:tr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Digital Assets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~195</w:t>
            </w:r>
          </w:p>
        </w:tc>
        <w:tc>
          <w:tcPr>
            <w:tcW w:type="dxa" w:w="3333"/>
          </w:tcPr>
          <w:p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Heading1"/>
        <w:spacing w:before="600"/>
      </w:pPr>
      <w:r>
        <w:rPr>
          <w:b/>
          <w:bCs/>
        </w:rPr>
        <w:t xml:space="preserve">Appendix B: Risk Factors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500"/>
            <w:shd w:fill="2B579A" w:color="2B579A" w:val="solid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Payer API documentation delays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vendor engagement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Pharmacy vendor API changes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API versioning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 content review cycles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Parallel legal review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Spanish content expansion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Modular i18n framework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iterations beyond scope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weeks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sprints, early sign-off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2026-05-04T15:29:10.214Z</dcterms:created>
  <dcterms:modified xsi:type="dcterms:W3CDTF">2026-05-04T15:29:10.214Z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