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4C46E" w14:textId="77777777" w:rsidR="008B557D" w:rsidRPr="00EF09ED" w:rsidRDefault="00230C3C" w:rsidP="00EF09ED">
      <w:pPr>
        <w:spacing w:before="160" w:after="80"/>
        <w:jc w:val="center"/>
        <w:rPr>
          <w:rFonts w:ascii="Arial" w:hAnsi="Arial" w:cs="Arial"/>
          <w:color w:val="auto"/>
          <w:sz w:val="32"/>
          <w:szCs w:val="32"/>
        </w:rPr>
      </w:pPr>
      <w:r w:rsidRPr="00EF09ED">
        <w:rPr>
          <w:rFonts w:ascii="Arial" w:hAnsi="Arial" w:cs="Arial"/>
          <w:b/>
          <w:color w:val="auto"/>
          <w:sz w:val="32"/>
          <w:szCs w:val="32"/>
        </w:rPr>
        <w:t>Plan of Ablation Study</w:t>
      </w:r>
    </w:p>
    <w:p w14:paraId="28D07173" w14:textId="1E2036B4" w:rsidR="008B557D" w:rsidRPr="00EF09ED" w:rsidRDefault="00EF09ED" w:rsidP="00EF09ED">
      <w:pPr>
        <w:spacing w:after="320"/>
        <w:jc w:val="center"/>
        <w:rPr>
          <w:rFonts w:ascii="Arial" w:hAnsi="Arial" w:cs="Arial"/>
          <w:color w:val="auto"/>
          <w:sz w:val="32"/>
          <w:szCs w:val="32"/>
        </w:rPr>
      </w:pPr>
      <w:proofErr w:type="spellStart"/>
      <w:r w:rsidRPr="00EF09ED">
        <w:rPr>
          <w:rFonts w:ascii="Arial" w:hAnsi="Arial" w:cs="Arial"/>
          <w:color w:val="auto"/>
          <w:sz w:val="32"/>
          <w:szCs w:val="32"/>
        </w:rPr>
        <w:t>SemanticVul</w:t>
      </w:r>
      <w:proofErr w:type="spellEnd"/>
      <w:r w:rsidRPr="00EF09ED">
        <w:rPr>
          <w:rFonts w:ascii="Arial" w:hAnsi="Arial" w:cs="Arial"/>
          <w:color w:val="auto"/>
          <w:sz w:val="32"/>
          <w:szCs w:val="32"/>
        </w:rPr>
        <w:t>: Quality Aware Fusion of Code Semantics and Local Explanations for Vulnerability Detection</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7460"/>
      </w:tblGrid>
      <w:tr w:rsidR="00EF09ED" w:rsidRPr="00EF09ED" w14:paraId="4A501B11" w14:textId="77777777" w:rsidTr="00423D95">
        <w:tc>
          <w:tcPr>
            <w:tcW w:w="1900" w:type="dxa"/>
            <w:tcMar>
              <w:top w:w="80" w:type="dxa"/>
              <w:left w:w="120" w:type="dxa"/>
              <w:bottom w:w="80" w:type="dxa"/>
              <w:right w:w="120" w:type="dxa"/>
            </w:tcMar>
            <w:vAlign w:val="center"/>
          </w:tcPr>
          <w:p w14:paraId="47F4DF23"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Purpose</w:t>
            </w:r>
          </w:p>
        </w:tc>
        <w:tc>
          <w:tcPr>
            <w:tcW w:w="7460" w:type="dxa"/>
            <w:tcMar>
              <w:top w:w="80" w:type="dxa"/>
              <w:left w:w="120" w:type="dxa"/>
              <w:bottom w:w="80" w:type="dxa"/>
              <w:right w:w="120" w:type="dxa"/>
            </w:tcMar>
            <w:vAlign w:val="center"/>
          </w:tcPr>
          <w:p w14:paraId="18212333"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color w:val="auto"/>
                <w:sz w:val="24"/>
                <w:szCs w:val="24"/>
              </w:rPr>
              <w:t>Response to observation on missing ablation study plan</w:t>
            </w:r>
          </w:p>
        </w:tc>
      </w:tr>
      <w:tr w:rsidR="00EF09ED" w:rsidRPr="00EF09ED" w14:paraId="5247BF6A" w14:textId="77777777" w:rsidTr="00423D95">
        <w:tc>
          <w:tcPr>
            <w:tcW w:w="1900" w:type="dxa"/>
            <w:tcMar>
              <w:top w:w="80" w:type="dxa"/>
              <w:left w:w="120" w:type="dxa"/>
              <w:bottom w:w="80" w:type="dxa"/>
              <w:right w:w="120" w:type="dxa"/>
            </w:tcMar>
            <w:vAlign w:val="center"/>
          </w:tcPr>
          <w:p w14:paraId="7E2B3636"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Study focus</w:t>
            </w:r>
          </w:p>
        </w:tc>
        <w:tc>
          <w:tcPr>
            <w:tcW w:w="7460" w:type="dxa"/>
            <w:tcMar>
              <w:top w:w="80" w:type="dxa"/>
              <w:left w:w="120" w:type="dxa"/>
              <w:bottom w:w="80" w:type="dxa"/>
              <w:right w:w="120" w:type="dxa"/>
            </w:tcMar>
            <w:vAlign w:val="center"/>
          </w:tcPr>
          <w:p w14:paraId="5ACBAA0E"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color w:val="auto"/>
                <w:sz w:val="24"/>
                <w:szCs w:val="24"/>
              </w:rPr>
              <w:t xml:space="preserve">Significance of individual ML </w:t>
            </w:r>
            <w:r w:rsidRPr="00EF09ED">
              <w:rPr>
                <w:rFonts w:ascii="Arial" w:hAnsi="Arial" w:cs="Arial"/>
                <w:color w:val="auto"/>
                <w:sz w:val="24"/>
                <w:szCs w:val="24"/>
              </w:rPr>
              <w:t>pipeline blocks</w:t>
            </w:r>
          </w:p>
        </w:tc>
      </w:tr>
      <w:tr w:rsidR="00423D95" w:rsidRPr="00EF09ED" w14:paraId="08514AA0" w14:textId="77777777" w:rsidTr="00423D95">
        <w:tc>
          <w:tcPr>
            <w:tcW w:w="1900" w:type="dxa"/>
            <w:tcMar>
              <w:top w:w="80" w:type="dxa"/>
              <w:left w:w="120" w:type="dxa"/>
              <w:bottom w:w="80" w:type="dxa"/>
              <w:right w:w="120" w:type="dxa"/>
            </w:tcMar>
            <w:vAlign w:val="center"/>
          </w:tcPr>
          <w:p w14:paraId="7C2B2E85" w14:textId="1BD40F26" w:rsidR="00423D95" w:rsidRPr="00423D95" w:rsidRDefault="00423D95" w:rsidP="00C20D57">
            <w:pPr>
              <w:spacing w:after="0"/>
              <w:jc w:val="both"/>
              <w:rPr>
                <w:rFonts w:ascii="Arial" w:hAnsi="Arial" w:cs="Arial"/>
                <w:b/>
                <w:bCs/>
                <w:color w:val="auto"/>
                <w:sz w:val="24"/>
                <w:szCs w:val="24"/>
              </w:rPr>
            </w:pPr>
            <w:r w:rsidRPr="00423D95">
              <w:rPr>
                <w:rFonts w:ascii="Arial" w:hAnsi="Arial" w:cs="Arial"/>
                <w:b/>
                <w:bCs/>
                <w:color w:val="auto"/>
                <w:sz w:val="24"/>
                <w:szCs w:val="24"/>
              </w:rPr>
              <w:t>Observation</w:t>
            </w:r>
          </w:p>
        </w:tc>
        <w:tc>
          <w:tcPr>
            <w:tcW w:w="7460" w:type="dxa"/>
            <w:tcMar>
              <w:top w:w="80" w:type="dxa"/>
              <w:left w:w="120" w:type="dxa"/>
              <w:bottom w:w="80" w:type="dxa"/>
              <w:right w:w="120" w:type="dxa"/>
            </w:tcMar>
            <w:vAlign w:val="center"/>
          </w:tcPr>
          <w:p w14:paraId="1FA49769" w14:textId="16BADBA4" w:rsidR="00423D95" w:rsidRPr="00EF09ED" w:rsidRDefault="00423D95" w:rsidP="00C20D57">
            <w:pPr>
              <w:spacing w:after="0"/>
              <w:jc w:val="both"/>
              <w:rPr>
                <w:rFonts w:ascii="Arial" w:hAnsi="Arial" w:cs="Arial"/>
                <w:color w:val="auto"/>
                <w:sz w:val="24"/>
                <w:szCs w:val="24"/>
              </w:rPr>
            </w:pPr>
            <w:r>
              <w:rPr>
                <w:rFonts w:ascii="Arial" w:hAnsi="Arial" w:cs="Arial"/>
                <w:color w:val="auto"/>
                <w:sz w:val="24"/>
                <w:szCs w:val="24"/>
              </w:rPr>
              <w:t>Plan of Ablation Study</w:t>
            </w:r>
          </w:p>
        </w:tc>
      </w:tr>
      <w:tr w:rsidR="00423D95" w:rsidRPr="00EF09ED" w14:paraId="5A7CCE47" w14:textId="77777777" w:rsidTr="00423D95">
        <w:tc>
          <w:tcPr>
            <w:tcW w:w="1900" w:type="dxa"/>
            <w:tcMar>
              <w:top w:w="80" w:type="dxa"/>
              <w:left w:w="120" w:type="dxa"/>
              <w:bottom w:w="80" w:type="dxa"/>
              <w:right w:w="120" w:type="dxa"/>
            </w:tcMar>
            <w:vAlign w:val="center"/>
          </w:tcPr>
          <w:p w14:paraId="771CE8B4" w14:textId="32548F50" w:rsidR="00423D95" w:rsidRPr="00423D95" w:rsidRDefault="00423D95" w:rsidP="00C20D57">
            <w:pPr>
              <w:spacing w:after="0"/>
              <w:jc w:val="both"/>
              <w:rPr>
                <w:rFonts w:ascii="Arial" w:hAnsi="Arial" w:cs="Arial"/>
                <w:b/>
                <w:bCs/>
                <w:color w:val="auto"/>
                <w:sz w:val="24"/>
                <w:szCs w:val="24"/>
              </w:rPr>
            </w:pPr>
            <w:r w:rsidRPr="00423D95">
              <w:rPr>
                <w:rFonts w:ascii="Arial" w:hAnsi="Arial" w:cs="Arial"/>
                <w:b/>
                <w:bCs/>
                <w:color w:val="auto"/>
                <w:sz w:val="24"/>
                <w:szCs w:val="24"/>
              </w:rPr>
              <w:t>Requirement</w:t>
            </w:r>
          </w:p>
        </w:tc>
        <w:tc>
          <w:tcPr>
            <w:tcW w:w="7460" w:type="dxa"/>
            <w:tcMar>
              <w:top w:w="80" w:type="dxa"/>
              <w:left w:w="120" w:type="dxa"/>
              <w:bottom w:w="80" w:type="dxa"/>
              <w:right w:w="120" w:type="dxa"/>
            </w:tcMar>
            <w:vAlign w:val="center"/>
          </w:tcPr>
          <w:p w14:paraId="2B183382" w14:textId="01ED92F0" w:rsidR="00423D95" w:rsidRPr="00EF09ED" w:rsidRDefault="00423D95" w:rsidP="00423D95">
            <w:pPr>
              <w:spacing w:after="40"/>
              <w:jc w:val="both"/>
              <w:rPr>
                <w:rFonts w:ascii="Arial" w:hAnsi="Arial" w:cs="Arial"/>
                <w:color w:val="auto"/>
                <w:sz w:val="24"/>
                <w:szCs w:val="24"/>
              </w:rPr>
            </w:pPr>
            <w:r w:rsidRPr="00EF09ED">
              <w:rPr>
                <w:rFonts w:ascii="Arial" w:hAnsi="Arial" w:cs="Arial"/>
                <w:color w:val="auto"/>
                <w:sz w:val="24"/>
                <w:szCs w:val="24"/>
              </w:rPr>
              <w:t>The student will perform experiments to report the significance in terms of accuracy/performance measures of individual blocks in the ML Pipeline designed for the problem.</w:t>
            </w:r>
          </w:p>
        </w:tc>
      </w:tr>
      <w:tr w:rsidR="00EF09ED" w:rsidRPr="00EF09ED" w14:paraId="7FFFC89D" w14:textId="77777777" w:rsidTr="00423D95">
        <w:tc>
          <w:tcPr>
            <w:tcW w:w="1900" w:type="dxa"/>
            <w:tcMar>
              <w:top w:w="80" w:type="dxa"/>
              <w:left w:w="120" w:type="dxa"/>
              <w:bottom w:w="80" w:type="dxa"/>
              <w:right w:w="120" w:type="dxa"/>
            </w:tcMar>
            <w:vAlign w:val="center"/>
          </w:tcPr>
          <w:p w14:paraId="258727AA"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Datasets</w:t>
            </w:r>
          </w:p>
        </w:tc>
        <w:tc>
          <w:tcPr>
            <w:tcW w:w="7460" w:type="dxa"/>
            <w:tcMar>
              <w:top w:w="80" w:type="dxa"/>
              <w:left w:w="120" w:type="dxa"/>
              <w:bottom w:w="80" w:type="dxa"/>
              <w:right w:w="120" w:type="dxa"/>
            </w:tcMar>
            <w:vAlign w:val="center"/>
          </w:tcPr>
          <w:p w14:paraId="4D097CA6" w14:textId="70B19857" w:rsidR="008B557D" w:rsidRPr="00EF09ED" w:rsidRDefault="00230C3C" w:rsidP="00C20D57">
            <w:pPr>
              <w:spacing w:after="0"/>
              <w:jc w:val="both"/>
              <w:rPr>
                <w:rFonts w:ascii="Arial" w:hAnsi="Arial" w:cs="Arial"/>
                <w:color w:val="auto"/>
                <w:sz w:val="24"/>
                <w:szCs w:val="24"/>
              </w:rPr>
            </w:pPr>
            <w:proofErr w:type="spellStart"/>
            <w:r w:rsidRPr="00EF09ED">
              <w:rPr>
                <w:rFonts w:ascii="Arial" w:hAnsi="Arial" w:cs="Arial"/>
                <w:color w:val="auto"/>
                <w:sz w:val="24"/>
                <w:szCs w:val="24"/>
              </w:rPr>
              <w:t>Devign</w:t>
            </w:r>
            <w:proofErr w:type="spellEnd"/>
            <w:r w:rsidRPr="00EF09ED">
              <w:rPr>
                <w:rFonts w:ascii="Arial" w:hAnsi="Arial" w:cs="Arial"/>
                <w:color w:val="auto"/>
                <w:sz w:val="24"/>
                <w:szCs w:val="24"/>
              </w:rPr>
              <w:t xml:space="preserve"> and </w:t>
            </w:r>
            <w:proofErr w:type="gramStart"/>
            <w:r w:rsidRPr="00EF09ED">
              <w:rPr>
                <w:rFonts w:ascii="Arial" w:hAnsi="Arial" w:cs="Arial"/>
                <w:color w:val="auto"/>
                <w:sz w:val="24"/>
                <w:szCs w:val="24"/>
              </w:rPr>
              <w:t>Reveal</w:t>
            </w:r>
            <w:proofErr w:type="gramEnd"/>
          </w:p>
        </w:tc>
      </w:tr>
      <w:tr w:rsidR="00423D95" w:rsidRPr="00EF09ED" w14:paraId="225138E3" w14:textId="77777777" w:rsidTr="00423D95">
        <w:tc>
          <w:tcPr>
            <w:tcW w:w="1900" w:type="dxa"/>
            <w:tcMar>
              <w:top w:w="80" w:type="dxa"/>
              <w:left w:w="120" w:type="dxa"/>
              <w:bottom w:w="80" w:type="dxa"/>
              <w:right w:w="120" w:type="dxa"/>
            </w:tcMar>
            <w:vAlign w:val="center"/>
          </w:tcPr>
          <w:p w14:paraId="12C026D9"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Date</w:t>
            </w:r>
          </w:p>
        </w:tc>
        <w:tc>
          <w:tcPr>
            <w:tcW w:w="7460" w:type="dxa"/>
            <w:tcMar>
              <w:top w:w="80" w:type="dxa"/>
              <w:left w:w="120" w:type="dxa"/>
              <w:bottom w:w="80" w:type="dxa"/>
              <w:right w:w="120" w:type="dxa"/>
            </w:tcMar>
            <w:vAlign w:val="center"/>
          </w:tcPr>
          <w:p w14:paraId="709F1764"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color w:val="auto"/>
                <w:sz w:val="24"/>
                <w:szCs w:val="24"/>
              </w:rPr>
              <w:t>July 6, 2026</w:t>
            </w:r>
          </w:p>
        </w:tc>
      </w:tr>
    </w:tbl>
    <w:p w14:paraId="11C6F8E4" w14:textId="5E792EEA" w:rsidR="00423D95" w:rsidRPr="00EF09ED" w:rsidRDefault="00423D95" w:rsidP="00C20D57">
      <w:pPr>
        <w:spacing w:after="40"/>
        <w:jc w:val="both"/>
        <w:rPr>
          <w:rFonts w:ascii="Arial" w:hAnsi="Arial" w:cs="Arial"/>
          <w:color w:val="auto"/>
          <w:sz w:val="24"/>
          <w:szCs w:val="24"/>
        </w:rPr>
      </w:pPr>
    </w:p>
    <w:p w14:paraId="63309B2A" w14:textId="77777777" w:rsidR="008B557D" w:rsidRPr="00EF09ED" w:rsidRDefault="00230C3C" w:rsidP="00C20D57">
      <w:pPr>
        <w:pStyle w:val="Heading1"/>
        <w:jc w:val="both"/>
        <w:rPr>
          <w:rFonts w:ascii="Arial" w:hAnsi="Arial" w:cs="Arial"/>
          <w:color w:val="auto"/>
          <w:sz w:val="24"/>
          <w:szCs w:val="24"/>
        </w:rPr>
      </w:pPr>
      <w:r w:rsidRPr="00EF09ED">
        <w:rPr>
          <w:rFonts w:ascii="Arial" w:hAnsi="Arial" w:cs="Arial"/>
          <w:color w:val="auto"/>
          <w:sz w:val="24"/>
          <w:szCs w:val="24"/>
        </w:rPr>
        <w:t>1. Objective and Scope</w:t>
      </w:r>
    </w:p>
    <w:p w14:paraId="5ABD8E52"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This ablation study is designed to make the contribution of each block in the SemanticVul pipeline empiricall</w:t>
      </w:r>
      <w:r w:rsidRPr="00EF09ED">
        <w:rPr>
          <w:rFonts w:ascii="Arial" w:hAnsi="Arial" w:cs="Arial"/>
          <w:color w:val="auto"/>
          <w:sz w:val="24"/>
          <w:szCs w:val="24"/>
        </w:rPr>
        <w:t>y visible. The study will not only report the final performance of the complete model, but will also show what is gained or lost when each major component is removed, replaced, or simplified under the same experimental protocol.</w:t>
      </w:r>
    </w:p>
    <w:p w14:paraId="3509C77E"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 xml:space="preserve">The pipeline is treated as </w:t>
      </w:r>
      <w:r w:rsidRPr="00EF09ED">
        <w:rPr>
          <w:rFonts w:ascii="Arial" w:hAnsi="Arial" w:cs="Arial"/>
          <w:color w:val="auto"/>
          <w:sz w:val="24"/>
          <w:szCs w:val="24"/>
        </w:rPr>
        <w:t>four connected blocks: the code representation channel, the local explanation channel, the label free quality feature channel, and the downstream training and decision strategy. The ablation design therefore combines a bottom-up component ladder with top-d</w:t>
      </w:r>
      <w:r w:rsidRPr="00EF09ED">
        <w:rPr>
          <w:rFonts w:ascii="Arial" w:hAnsi="Arial" w:cs="Arial"/>
          <w:color w:val="auto"/>
          <w:sz w:val="24"/>
          <w:szCs w:val="24"/>
        </w:rPr>
        <w:t>own leave-one-out experiments. This allows the report to answer two different but related questions: whether performance improves as components are added, and whether each component remains useful when the full model is already present.</w:t>
      </w:r>
    </w:p>
    <w:p w14:paraId="5336EF3C"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 xml:space="preserve">All ablations will </w:t>
      </w:r>
      <w:r w:rsidRPr="00EF09ED">
        <w:rPr>
          <w:rFonts w:ascii="Arial" w:hAnsi="Arial" w:cs="Arial"/>
          <w:color w:val="auto"/>
          <w:sz w:val="24"/>
          <w:szCs w:val="24"/>
        </w:rPr>
        <w:t>be conducted on the audited Devign and Reveal splits. The same data partitions, cached representations, evaluation metrics, random seeds, and threshold-selection rules will be used across comparable configurations. This is necessary so that observed perfor</w:t>
      </w:r>
      <w:r w:rsidRPr="00EF09ED">
        <w:rPr>
          <w:rFonts w:ascii="Arial" w:hAnsi="Arial" w:cs="Arial"/>
          <w:color w:val="auto"/>
          <w:sz w:val="24"/>
          <w:szCs w:val="24"/>
        </w:rPr>
        <w:t>mance differences can be attributed to the ablated pipeline block rather than to changes in protocol.</w:t>
      </w:r>
    </w:p>
    <w:p w14:paraId="7D84AF0E" w14:textId="77777777" w:rsidR="008B557D" w:rsidRPr="00EF09ED" w:rsidRDefault="00230C3C" w:rsidP="00C20D57">
      <w:pPr>
        <w:pStyle w:val="Heading1"/>
        <w:jc w:val="both"/>
        <w:rPr>
          <w:rFonts w:ascii="Arial" w:hAnsi="Arial" w:cs="Arial"/>
          <w:color w:val="auto"/>
          <w:sz w:val="24"/>
          <w:szCs w:val="24"/>
        </w:rPr>
      </w:pPr>
      <w:r w:rsidRPr="00EF09ED">
        <w:rPr>
          <w:rFonts w:ascii="Arial" w:hAnsi="Arial" w:cs="Arial"/>
          <w:color w:val="auto"/>
          <w:sz w:val="24"/>
          <w:szCs w:val="24"/>
        </w:rPr>
        <w:lastRenderedPageBreak/>
        <w:t>2. Research Objectives and Questions</w:t>
      </w:r>
    </w:p>
    <w:p w14:paraId="663C9941"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 xml:space="preserve">The research objectives and research questions are retained word-to-word from the study design. The ablation plan is </w:t>
      </w:r>
      <w:r w:rsidRPr="00EF09ED">
        <w:rPr>
          <w:rFonts w:ascii="Arial" w:hAnsi="Arial" w:cs="Arial"/>
          <w:color w:val="auto"/>
          <w:sz w:val="24"/>
          <w:szCs w:val="24"/>
        </w:rPr>
        <w:t>organized around these objectives so that every experimental comparison has a direct role in the dissertation/report structure.</w:t>
      </w:r>
    </w:p>
    <w:p w14:paraId="3DD0457B" w14:textId="77777777" w:rsidR="008B557D" w:rsidRPr="00EF09ED" w:rsidRDefault="00230C3C" w:rsidP="00C20D57">
      <w:pPr>
        <w:pStyle w:val="Heading2"/>
        <w:jc w:val="both"/>
        <w:rPr>
          <w:rFonts w:ascii="Arial" w:hAnsi="Arial" w:cs="Arial"/>
          <w:color w:val="auto"/>
          <w:sz w:val="24"/>
          <w:szCs w:val="24"/>
        </w:rPr>
      </w:pPr>
      <w:r w:rsidRPr="00EF09ED">
        <w:rPr>
          <w:rFonts w:ascii="Arial" w:hAnsi="Arial" w:cs="Arial"/>
          <w:color w:val="auto"/>
          <w:sz w:val="24"/>
          <w:szCs w:val="24"/>
        </w:rPr>
        <w:t>RO 01: Explanations</w:t>
      </w:r>
    </w:p>
    <w:p w14:paraId="7A06449D"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Objective: </w:t>
      </w:r>
      <w:r w:rsidRPr="00EF09ED">
        <w:rPr>
          <w:rFonts w:ascii="Arial" w:hAnsi="Arial" w:cs="Arial"/>
          <w:color w:val="auto"/>
          <w:sz w:val="24"/>
          <w:szCs w:val="24"/>
        </w:rPr>
        <w:t>Design and evaluate a local explanation pipeline using structured JSON output, evidence token gro</w:t>
      </w:r>
      <w:r w:rsidRPr="00EF09ED">
        <w:rPr>
          <w:rFonts w:ascii="Arial" w:hAnsi="Arial" w:cs="Arial"/>
          <w:color w:val="auto"/>
          <w:sz w:val="24"/>
          <w:szCs w:val="24"/>
        </w:rPr>
        <w:t>unding, and explicit leakage controls.</w:t>
      </w:r>
    </w:p>
    <w:p w14:paraId="5D833F6F"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Research question: </w:t>
      </w:r>
      <w:r w:rsidRPr="00EF09ED">
        <w:rPr>
          <w:rFonts w:ascii="Arial" w:hAnsi="Arial" w:cs="Arial"/>
          <w:color w:val="auto"/>
          <w:sz w:val="24"/>
          <w:szCs w:val="24"/>
        </w:rPr>
        <w:t>To what extent do locally generated, verdict scrubbed, evidence grounded explanations improve explanation faithfulness and downstream vulnerability detection as compared with FuSEVul style free form</w:t>
      </w:r>
      <w:r w:rsidRPr="00EF09ED">
        <w:rPr>
          <w:rFonts w:ascii="Arial" w:hAnsi="Arial" w:cs="Arial"/>
          <w:color w:val="auto"/>
          <w:sz w:val="24"/>
          <w:szCs w:val="24"/>
        </w:rPr>
        <w:t xml:space="preserve"> LLM explanations?</w:t>
      </w:r>
    </w:p>
    <w:p w14:paraId="0F255DAB"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Evidence to report: </w:t>
      </w:r>
      <w:r w:rsidRPr="00EF09ED">
        <w:rPr>
          <w:rFonts w:ascii="Arial" w:hAnsi="Arial" w:cs="Arial"/>
          <w:color w:val="auto"/>
          <w:sz w:val="24"/>
          <w:szCs w:val="24"/>
        </w:rPr>
        <w:t>An explanation leakage rate, evidence grounding measures, and explanation quality analysis</w:t>
      </w:r>
    </w:p>
    <w:p w14:paraId="27872285"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Expected output: </w:t>
      </w:r>
      <w:r w:rsidRPr="00EF09ED">
        <w:rPr>
          <w:rFonts w:ascii="Arial" w:hAnsi="Arial" w:cs="Arial"/>
          <w:color w:val="auto"/>
          <w:sz w:val="24"/>
          <w:szCs w:val="24"/>
        </w:rPr>
        <w:t>A reproducible local explanation generation pipeline and the cached, evidence grounded explanation set with l</w:t>
      </w:r>
      <w:r w:rsidRPr="00EF09ED">
        <w:rPr>
          <w:rFonts w:ascii="Arial" w:hAnsi="Arial" w:cs="Arial"/>
          <w:color w:val="auto"/>
          <w:sz w:val="24"/>
          <w:szCs w:val="24"/>
        </w:rPr>
        <w:t>abel free quality scores.</w:t>
      </w:r>
    </w:p>
    <w:p w14:paraId="0644010A" w14:textId="77777777" w:rsidR="008B557D" w:rsidRPr="00EF09ED" w:rsidRDefault="00230C3C" w:rsidP="00C20D57">
      <w:pPr>
        <w:pStyle w:val="Heading2"/>
        <w:jc w:val="both"/>
        <w:rPr>
          <w:rFonts w:ascii="Arial" w:hAnsi="Arial" w:cs="Arial"/>
          <w:color w:val="auto"/>
          <w:sz w:val="24"/>
          <w:szCs w:val="24"/>
        </w:rPr>
      </w:pPr>
      <w:r w:rsidRPr="00EF09ED">
        <w:rPr>
          <w:rFonts w:ascii="Arial" w:hAnsi="Arial" w:cs="Arial"/>
          <w:color w:val="auto"/>
          <w:sz w:val="24"/>
          <w:szCs w:val="24"/>
        </w:rPr>
        <w:t>RO 02: Fusion</w:t>
      </w:r>
    </w:p>
    <w:p w14:paraId="79E8A35D"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Objective: </w:t>
      </w:r>
      <w:r w:rsidRPr="00EF09ED">
        <w:rPr>
          <w:rFonts w:ascii="Arial" w:hAnsi="Arial" w:cs="Arial"/>
          <w:color w:val="auto"/>
          <w:sz w:val="24"/>
          <w:szCs w:val="24"/>
        </w:rPr>
        <w:t>Develop and evaluate a lightweight gated fusion module that combines cached code embeddings, explanation embeddings, and label free quality features.</w:t>
      </w:r>
    </w:p>
    <w:p w14:paraId="6CD0129B"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Research question: </w:t>
      </w:r>
      <w:r w:rsidRPr="00EF09ED">
        <w:rPr>
          <w:rFonts w:ascii="Arial" w:hAnsi="Arial" w:cs="Arial"/>
          <w:color w:val="auto"/>
          <w:sz w:val="24"/>
          <w:szCs w:val="24"/>
        </w:rPr>
        <w:t>How does quality aware adaptive gate</w:t>
      </w:r>
      <w:r w:rsidRPr="00EF09ED">
        <w:rPr>
          <w:rFonts w:ascii="Arial" w:hAnsi="Arial" w:cs="Arial"/>
          <w:color w:val="auto"/>
          <w:sz w:val="24"/>
          <w:szCs w:val="24"/>
        </w:rPr>
        <w:t>d fusion compare with static fusion, single modality models, and classical cached feature baselines in vulnerability detection performance and training efficiency?</w:t>
      </w:r>
    </w:p>
    <w:p w14:paraId="0566ACD6"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Evidence to report: </w:t>
      </w:r>
      <w:r w:rsidRPr="00EF09ED">
        <w:rPr>
          <w:rFonts w:ascii="Arial" w:hAnsi="Arial" w:cs="Arial"/>
          <w:color w:val="auto"/>
          <w:sz w:val="24"/>
          <w:szCs w:val="24"/>
        </w:rPr>
        <w:t>Controlled ablations, comparison with fusion and single modality baselin</w:t>
      </w:r>
      <w:r w:rsidRPr="00EF09ED">
        <w:rPr>
          <w:rFonts w:ascii="Arial" w:hAnsi="Arial" w:cs="Arial"/>
          <w:color w:val="auto"/>
          <w:sz w:val="24"/>
          <w:szCs w:val="24"/>
        </w:rPr>
        <w:t>es, encoder comparison, training efficiency, and predictive performance.</w:t>
      </w:r>
    </w:p>
    <w:p w14:paraId="4F015034"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Expected output: </w:t>
      </w:r>
      <w:r w:rsidRPr="00EF09ED">
        <w:rPr>
          <w:rFonts w:ascii="Arial" w:hAnsi="Arial" w:cs="Arial"/>
          <w:color w:val="auto"/>
          <w:sz w:val="24"/>
          <w:szCs w:val="24"/>
        </w:rPr>
        <w:t>The lightweight SemanticVul gated fusion model over frozen, cached encoders.</w:t>
      </w:r>
    </w:p>
    <w:p w14:paraId="006EB928" w14:textId="77777777" w:rsidR="008B557D" w:rsidRPr="00EF09ED" w:rsidRDefault="00230C3C" w:rsidP="00C20D57">
      <w:pPr>
        <w:pStyle w:val="Heading2"/>
        <w:jc w:val="both"/>
        <w:rPr>
          <w:rFonts w:ascii="Arial" w:hAnsi="Arial" w:cs="Arial"/>
          <w:color w:val="auto"/>
          <w:sz w:val="24"/>
          <w:szCs w:val="24"/>
        </w:rPr>
      </w:pPr>
      <w:r w:rsidRPr="00EF09ED">
        <w:rPr>
          <w:rFonts w:ascii="Arial" w:hAnsi="Arial" w:cs="Arial"/>
          <w:color w:val="auto"/>
          <w:sz w:val="24"/>
          <w:szCs w:val="24"/>
        </w:rPr>
        <w:t>RO 03: Overall Evaluation</w:t>
      </w:r>
    </w:p>
    <w:p w14:paraId="32C1D3FA"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Objective: </w:t>
      </w:r>
      <w:r w:rsidRPr="00EF09ED">
        <w:rPr>
          <w:rFonts w:ascii="Arial" w:hAnsi="Arial" w:cs="Arial"/>
          <w:color w:val="auto"/>
          <w:sz w:val="24"/>
          <w:szCs w:val="24"/>
        </w:rPr>
        <w:t xml:space="preserve">Evaluate SemanticVul against FuSEVul and </w:t>
      </w:r>
      <w:r w:rsidRPr="00EF09ED">
        <w:rPr>
          <w:rFonts w:ascii="Arial" w:hAnsi="Arial" w:cs="Arial"/>
          <w:color w:val="auto"/>
          <w:sz w:val="24"/>
          <w:szCs w:val="24"/>
        </w:rPr>
        <w:t>representative baselines under audited, explicitly declared experimental protocols.</w:t>
      </w:r>
    </w:p>
    <w:p w14:paraId="50EDEA3F"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Research question: </w:t>
      </w:r>
      <w:r w:rsidRPr="00EF09ED">
        <w:rPr>
          <w:rFonts w:ascii="Arial" w:hAnsi="Arial" w:cs="Arial"/>
          <w:color w:val="auto"/>
          <w:sz w:val="24"/>
          <w:szCs w:val="24"/>
        </w:rPr>
        <w:t>Under the audited Devign and Reveal splits, how does SemanticVul compare with FuSEVul and representative baselines in predictive performance, threshold r</w:t>
      </w:r>
      <w:r w:rsidRPr="00EF09ED">
        <w:rPr>
          <w:rFonts w:ascii="Arial" w:hAnsi="Arial" w:cs="Arial"/>
          <w:color w:val="auto"/>
          <w:sz w:val="24"/>
          <w:szCs w:val="24"/>
        </w:rPr>
        <w:t>obustness, and low resource training feasibility?</w:t>
      </w:r>
    </w:p>
    <w:p w14:paraId="524062B7"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Evidence to report: </w:t>
      </w:r>
      <w:r w:rsidRPr="00EF09ED">
        <w:rPr>
          <w:rFonts w:ascii="Arial" w:hAnsi="Arial" w:cs="Arial"/>
          <w:color w:val="auto"/>
          <w:sz w:val="24"/>
          <w:szCs w:val="24"/>
        </w:rPr>
        <w:t>Five seed mean and standard deviation for Accuracy, Precision, Recall, F1, and PR AUC; threshold sensitivity analysis; and data quality findings</w:t>
      </w:r>
    </w:p>
    <w:p w14:paraId="0B17F753"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Expected output: </w:t>
      </w:r>
      <w:r w:rsidRPr="00EF09ED">
        <w:rPr>
          <w:rFonts w:ascii="Arial" w:hAnsi="Arial" w:cs="Arial"/>
          <w:color w:val="auto"/>
          <w:sz w:val="24"/>
          <w:szCs w:val="24"/>
        </w:rPr>
        <w:t>A reproducible evaluatio</w:t>
      </w:r>
      <w:r w:rsidRPr="00EF09ED">
        <w:rPr>
          <w:rFonts w:ascii="Arial" w:hAnsi="Arial" w:cs="Arial"/>
          <w:color w:val="auto"/>
          <w:sz w:val="24"/>
          <w:szCs w:val="24"/>
        </w:rPr>
        <w:t>n framework and comparative benchmark results on Devign and Reveal.</w:t>
      </w:r>
    </w:p>
    <w:p w14:paraId="3177F3C2" w14:textId="77777777" w:rsidR="008B557D" w:rsidRPr="00EF09ED" w:rsidRDefault="00230C3C" w:rsidP="00C20D57">
      <w:pPr>
        <w:pStyle w:val="Heading2"/>
        <w:jc w:val="both"/>
        <w:rPr>
          <w:rFonts w:ascii="Arial" w:hAnsi="Arial" w:cs="Arial"/>
          <w:color w:val="auto"/>
          <w:sz w:val="24"/>
          <w:szCs w:val="24"/>
        </w:rPr>
      </w:pPr>
      <w:r w:rsidRPr="00EF09ED">
        <w:rPr>
          <w:rFonts w:ascii="Arial" w:hAnsi="Arial" w:cs="Arial"/>
          <w:color w:val="auto"/>
          <w:sz w:val="24"/>
          <w:szCs w:val="24"/>
        </w:rPr>
        <w:lastRenderedPageBreak/>
        <w:t>RO 04: Class Imbalance</w:t>
      </w:r>
    </w:p>
    <w:p w14:paraId="61CF33B0"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Objective: </w:t>
      </w:r>
      <w:r w:rsidRPr="00EF09ED">
        <w:rPr>
          <w:rFonts w:ascii="Arial" w:hAnsi="Arial" w:cs="Arial"/>
          <w:color w:val="auto"/>
          <w:sz w:val="24"/>
          <w:szCs w:val="24"/>
        </w:rPr>
        <w:t xml:space="preserve">Investigate focal loss, capped class weighting, </w:t>
      </w:r>
      <w:proofErr w:type="gramStart"/>
      <w:r w:rsidRPr="00EF09ED">
        <w:rPr>
          <w:rFonts w:ascii="Arial" w:hAnsi="Arial" w:cs="Arial"/>
          <w:color w:val="auto"/>
          <w:sz w:val="24"/>
          <w:szCs w:val="24"/>
        </w:rPr>
        <w:t>validation based</w:t>
      </w:r>
      <w:proofErr w:type="gramEnd"/>
      <w:r w:rsidRPr="00EF09ED">
        <w:rPr>
          <w:rFonts w:ascii="Arial" w:hAnsi="Arial" w:cs="Arial"/>
          <w:color w:val="auto"/>
          <w:sz w:val="24"/>
          <w:szCs w:val="24"/>
        </w:rPr>
        <w:t xml:space="preserve"> threshold tuning, and multi seed ensembling through controlled ablation experiments.</w:t>
      </w:r>
    </w:p>
    <w:p w14:paraId="64FEDB73"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Rese</w:t>
      </w:r>
      <w:r w:rsidRPr="00EF09ED">
        <w:rPr>
          <w:rFonts w:ascii="Arial" w:hAnsi="Arial" w:cs="Arial"/>
          <w:b/>
          <w:color w:val="auto"/>
          <w:sz w:val="24"/>
          <w:szCs w:val="24"/>
        </w:rPr>
        <w:t xml:space="preserve">arch question: </w:t>
      </w:r>
      <w:r w:rsidRPr="00EF09ED">
        <w:rPr>
          <w:rFonts w:ascii="Arial" w:hAnsi="Arial" w:cs="Arial"/>
          <w:color w:val="auto"/>
          <w:sz w:val="24"/>
          <w:szCs w:val="24"/>
        </w:rPr>
        <w:t xml:space="preserve">What are the individual and combined effects of imbalance aware loss functions, </w:t>
      </w:r>
      <w:proofErr w:type="gramStart"/>
      <w:r w:rsidRPr="00EF09ED">
        <w:rPr>
          <w:rFonts w:ascii="Arial" w:hAnsi="Arial" w:cs="Arial"/>
          <w:color w:val="auto"/>
          <w:sz w:val="24"/>
          <w:szCs w:val="24"/>
        </w:rPr>
        <w:t>validation based</w:t>
      </w:r>
      <w:proofErr w:type="gramEnd"/>
      <w:r w:rsidRPr="00EF09ED">
        <w:rPr>
          <w:rFonts w:ascii="Arial" w:hAnsi="Arial" w:cs="Arial"/>
          <w:color w:val="auto"/>
          <w:sz w:val="24"/>
          <w:szCs w:val="24"/>
        </w:rPr>
        <w:t xml:space="preserve"> threshold tuning, and multi seed ensembling on minority class detection and the precision recall trade off?</w:t>
      </w:r>
    </w:p>
    <w:p w14:paraId="2035B5ED"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Evidence to report: </w:t>
      </w:r>
      <w:r w:rsidRPr="00EF09ED">
        <w:rPr>
          <w:rFonts w:ascii="Arial" w:hAnsi="Arial" w:cs="Arial"/>
          <w:color w:val="auto"/>
          <w:sz w:val="24"/>
          <w:szCs w:val="24"/>
        </w:rPr>
        <w:t>Component ablati</w:t>
      </w:r>
      <w:r w:rsidRPr="00EF09ED">
        <w:rPr>
          <w:rFonts w:ascii="Arial" w:hAnsi="Arial" w:cs="Arial"/>
          <w:color w:val="auto"/>
          <w:sz w:val="24"/>
          <w:szCs w:val="24"/>
        </w:rPr>
        <w:t>ons, minority class Recall, precision recall curves, F1.</w:t>
      </w:r>
    </w:p>
    <w:p w14:paraId="47911532" w14:textId="77777777" w:rsidR="008B557D" w:rsidRPr="00EF09ED" w:rsidRDefault="00230C3C" w:rsidP="00C20D57">
      <w:pPr>
        <w:spacing w:after="80"/>
        <w:jc w:val="both"/>
        <w:rPr>
          <w:rFonts w:ascii="Arial" w:hAnsi="Arial" w:cs="Arial"/>
          <w:color w:val="auto"/>
          <w:sz w:val="24"/>
          <w:szCs w:val="24"/>
        </w:rPr>
      </w:pPr>
      <w:r w:rsidRPr="00EF09ED">
        <w:rPr>
          <w:rFonts w:ascii="Arial" w:hAnsi="Arial" w:cs="Arial"/>
          <w:b/>
          <w:color w:val="auto"/>
          <w:sz w:val="24"/>
          <w:szCs w:val="24"/>
        </w:rPr>
        <w:t xml:space="preserve">Expected output: </w:t>
      </w:r>
      <w:r w:rsidRPr="00EF09ED">
        <w:rPr>
          <w:rFonts w:ascii="Arial" w:hAnsi="Arial" w:cs="Arial"/>
          <w:color w:val="auto"/>
          <w:sz w:val="24"/>
          <w:szCs w:val="24"/>
        </w:rPr>
        <w:t xml:space="preserve">An evaluated imbalance handling strategy and a </w:t>
      </w:r>
      <w:proofErr w:type="gramStart"/>
      <w:r w:rsidRPr="00EF09ED">
        <w:rPr>
          <w:rFonts w:ascii="Arial" w:hAnsi="Arial" w:cs="Arial"/>
          <w:color w:val="auto"/>
          <w:sz w:val="24"/>
          <w:szCs w:val="24"/>
        </w:rPr>
        <w:t>validation based</w:t>
      </w:r>
      <w:proofErr w:type="gramEnd"/>
      <w:r w:rsidRPr="00EF09ED">
        <w:rPr>
          <w:rFonts w:ascii="Arial" w:hAnsi="Arial" w:cs="Arial"/>
          <w:color w:val="auto"/>
          <w:sz w:val="24"/>
          <w:szCs w:val="24"/>
        </w:rPr>
        <w:t xml:space="preserve"> threshold selection procedure.</w:t>
      </w:r>
    </w:p>
    <w:p w14:paraId="23E6FFAC" w14:textId="77777777" w:rsidR="008B557D" w:rsidRPr="00EF09ED" w:rsidRDefault="00230C3C" w:rsidP="00C20D57">
      <w:pPr>
        <w:pStyle w:val="Heading1"/>
        <w:jc w:val="both"/>
        <w:rPr>
          <w:rFonts w:ascii="Arial" w:hAnsi="Arial" w:cs="Arial"/>
          <w:color w:val="auto"/>
          <w:sz w:val="24"/>
          <w:szCs w:val="24"/>
        </w:rPr>
      </w:pPr>
      <w:r w:rsidRPr="00EF09ED">
        <w:rPr>
          <w:rFonts w:ascii="Arial" w:hAnsi="Arial" w:cs="Arial"/>
          <w:color w:val="auto"/>
          <w:sz w:val="24"/>
          <w:szCs w:val="24"/>
        </w:rPr>
        <w:t>3. Components Under Study</w:t>
      </w:r>
    </w:p>
    <w:p w14:paraId="6FEB4186"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The ablation study treats the full SemanticVul system as a co</w:t>
      </w:r>
      <w:r w:rsidRPr="00EF09ED">
        <w:rPr>
          <w:rFonts w:ascii="Arial" w:hAnsi="Arial" w:cs="Arial"/>
          <w:color w:val="auto"/>
          <w:sz w:val="24"/>
          <w:szCs w:val="24"/>
        </w:rPr>
        <w:t>mposition of separable blocks. Each block has a specific expected role in the pipeline and therefore a specific ablation test.</w:t>
      </w:r>
    </w:p>
    <w:tbl>
      <w:tblPr>
        <w:tblStyle w:val="TableGrid"/>
        <w:tblW w:w="9360" w:type="dxa"/>
        <w:tblInd w:w="120" w:type="dxa"/>
        <w:tblLayout w:type="fixed"/>
        <w:tblLook w:val="04A0" w:firstRow="1" w:lastRow="0" w:firstColumn="1" w:lastColumn="0" w:noHBand="0" w:noVBand="1"/>
      </w:tblPr>
      <w:tblGrid>
        <w:gridCol w:w="800"/>
        <w:gridCol w:w="1600"/>
        <w:gridCol w:w="3600"/>
        <w:gridCol w:w="3360"/>
      </w:tblGrid>
      <w:tr w:rsidR="00EF09ED" w:rsidRPr="00EF09ED" w14:paraId="5206977F" w14:textId="77777777">
        <w:tc>
          <w:tcPr>
            <w:tcW w:w="800" w:type="dxa"/>
            <w:shd w:val="clear" w:color="auto" w:fill="F2F4F7"/>
            <w:tcMar>
              <w:top w:w="80" w:type="dxa"/>
              <w:left w:w="120" w:type="dxa"/>
              <w:bottom w:w="80" w:type="dxa"/>
              <w:right w:w="120" w:type="dxa"/>
            </w:tcMar>
            <w:vAlign w:val="center"/>
          </w:tcPr>
          <w:p w14:paraId="2F3D9BEE"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Symbol</w:t>
            </w:r>
          </w:p>
        </w:tc>
        <w:tc>
          <w:tcPr>
            <w:tcW w:w="1600" w:type="dxa"/>
            <w:shd w:val="clear" w:color="auto" w:fill="F2F4F7"/>
            <w:tcMar>
              <w:top w:w="80" w:type="dxa"/>
              <w:left w:w="120" w:type="dxa"/>
              <w:bottom w:w="80" w:type="dxa"/>
              <w:right w:w="120" w:type="dxa"/>
            </w:tcMar>
            <w:vAlign w:val="center"/>
          </w:tcPr>
          <w:p w14:paraId="6993C2D0"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Block</w:t>
            </w:r>
          </w:p>
        </w:tc>
        <w:tc>
          <w:tcPr>
            <w:tcW w:w="3600" w:type="dxa"/>
            <w:shd w:val="clear" w:color="auto" w:fill="F2F4F7"/>
            <w:tcMar>
              <w:top w:w="80" w:type="dxa"/>
              <w:left w:w="120" w:type="dxa"/>
              <w:bottom w:w="80" w:type="dxa"/>
              <w:right w:w="120" w:type="dxa"/>
            </w:tcMar>
            <w:vAlign w:val="center"/>
          </w:tcPr>
          <w:p w14:paraId="64A59F18"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Operational definition</w:t>
            </w:r>
          </w:p>
        </w:tc>
        <w:tc>
          <w:tcPr>
            <w:tcW w:w="3360" w:type="dxa"/>
            <w:shd w:val="clear" w:color="auto" w:fill="F2F4F7"/>
            <w:tcMar>
              <w:top w:w="80" w:type="dxa"/>
              <w:left w:w="120" w:type="dxa"/>
              <w:bottom w:w="80" w:type="dxa"/>
              <w:right w:w="120" w:type="dxa"/>
            </w:tcMar>
            <w:vAlign w:val="center"/>
          </w:tcPr>
          <w:p w14:paraId="40D54D63"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Expected contribution</w:t>
            </w:r>
          </w:p>
        </w:tc>
      </w:tr>
      <w:tr w:rsidR="00EF09ED" w:rsidRPr="00EF09ED" w14:paraId="673B2453" w14:textId="77777777">
        <w:tc>
          <w:tcPr>
            <w:tcW w:w="800" w:type="dxa"/>
            <w:tcMar>
              <w:top w:w="80" w:type="dxa"/>
              <w:left w:w="120" w:type="dxa"/>
              <w:bottom w:w="80" w:type="dxa"/>
              <w:right w:w="120" w:type="dxa"/>
            </w:tcMar>
            <w:vAlign w:val="center"/>
          </w:tcPr>
          <w:p w14:paraId="61EEB66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w:t>
            </w:r>
          </w:p>
        </w:tc>
        <w:tc>
          <w:tcPr>
            <w:tcW w:w="1600" w:type="dxa"/>
            <w:tcMar>
              <w:top w:w="80" w:type="dxa"/>
              <w:left w:w="120" w:type="dxa"/>
              <w:bottom w:w="80" w:type="dxa"/>
              <w:right w:w="120" w:type="dxa"/>
            </w:tcMar>
            <w:vAlign w:val="center"/>
          </w:tcPr>
          <w:p w14:paraId="1DD79FE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Code channel</w:t>
            </w:r>
          </w:p>
        </w:tc>
        <w:tc>
          <w:tcPr>
            <w:tcW w:w="3600" w:type="dxa"/>
            <w:tcMar>
              <w:top w:w="80" w:type="dxa"/>
              <w:left w:w="120" w:type="dxa"/>
              <w:bottom w:w="80" w:type="dxa"/>
              <w:right w:w="120" w:type="dxa"/>
            </w:tcMar>
            <w:vAlign w:val="center"/>
          </w:tcPr>
          <w:p w14:paraId="741D18C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Cached code embeddings generated from the code </w:t>
            </w:r>
            <w:r w:rsidRPr="00EF09ED">
              <w:rPr>
                <w:rFonts w:ascii="Arial" w:hAnsi="Arial" w:cs="Arial"/>
                <w:color w:val="auto"/>
                <w:sz w:val="24"/>
                <w:szCs w:val="24"/>
              </w:rPr>
              <w:t>encoder.</w:t>
            </w:r>
          </w:p>
        </w:tc>
        <w:tc>
          <w:tcPr>
            <w:tcW w:w="3360" w:type="dxa"/>
            <w:tcMar>
              <w:top w:w="80" w:type="dxa"/>
              <w:left w:w="120" w:type="dxa"/>
              <w:bottom w:w="80" w:type="dxa"/>
              <w:right w:w="120" w:type="dxa"/>
            </w:tcMar>
            <w:vAlign w:val="center"/>
          </w:tcPr>
          <w:p w14:paraId="1B4CAAA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Provides the primary source-code representation for vulnerability detection.</w:t>
            </w:r>
          </w:p>
        </w:tc>
      </w:tr>
      <w:tr w:rsidR="00EF09ED" w:rsidRPr="00EF09ED" w14:paraId="7094C0E8" w14:textId="77777777">
        <w:tc>
          <w:tcPr>
            <w:tcW w:w="800" w:type="dxa"/>
            <w:tcMar>
              <w:top w:w="80" w:type="dxa"/>
              <w:left w:w="120" w:type="dxa"/>
              <w:bottom w:w="80" w:type="dxa"/>
              <w:right w:w="120" w:type="dxa"/>
            </w:tcMar>
            <w:vAlign w:val="center"/>
          </w:tcPr>
          <w:p w14:paraId="62ED80A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E</w:t>
            </w:r>
          </w:p>
        </w:tc>
        <w:tc>
          <w:tcPr>
            <w:tcW w:w="1600" w:type="dxa"/>
            <w:tcMar>
              <w:top w:w="80" w:type="dxa"/>
              <w:left w:w="120" w:type="dxa"/>
              <w:bottom w:w="80" w:type="dxa"/>
              <w:right w:w="120" w:type="dxa"/>
            </w:tcMar>
            <w:vAlign w:val="center"/>
          </w:tcPr>
          <w:p w14:paraId="4C6E8F1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Explanation channel</w:t>
            </w:r>
          </w:p>
        </w:tc>
        <w:tc>
          <w:tcPr>
            <w:tcW w:w="3600" w:type="dxa"/>
            <w:tcMar>
              <w:top w:w="80" w:type="dxa"/>
              <w:left w:w="120" w:type="dxa"/>
              <w:bottom w:w="80" w:type="dxa"/>
              <w:right w:w="120" w:type="dxa"/>
            </w:tcMar>
            <w:vAlign w:val="center"/>
          </w:tcPr>
          <w:p w14:paraId="487362A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Local explanations generated using structured JSON output, verdict scrubbing, and evidence token grounding.</w:t>
            </w:r>
          </w:p>
        </w:tc>
        <w:tc>
          <w:tcPr>
            <w:tcW w:w="3360" w:type="dxa"/>
            <w:tcMar>
              <w:top w:w="80" w:type="dxa"/>
              <w:left w:w="120" w:type="dxa"/>
              <w:bottom w:w="80" w:type="dxa"/>
              <w:right w:w="120" w:type="dxa"/>
            </w:tcMar>
            <w:vAlign w:val="center"/>
          </w:tcPr>
          <w:p w14:paraId="0D9D8F72"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Adds semantic rationale and local evide</w:t>
            </w:r>
            <w:r w:rsidRPr="00EF09ED">
              <w:rPr>
                <w:rFonts w:ascii="Arial" w:hAnsi="Arial" w:cs="Arial"/>
                <w:color w:val="auto"/>
                <w:sz w:val="24"/>
                <w:szCs w:val="24"/>
              </w:rPr>
              <w:t>nce derived from the function.</w:t>
            </w:r>
          </w:p>
        </w:tc>
      </w:tr>
      <w:tr w:rsidR="00EF09ED" w:rsidRPr="00EF09ED" w14:paraId="60112A04" w14:textId="77777777">
        <w:tc>
          <w:tcPr>
            <w:tcW w:w="800" w:type="dxa"/>
            <w:tcMar>
              <w:top w:w="80" w:type="dxa"/>
              <w:left w:w="120" w:type="dxa"/>
              <w:bottom w:w="80" w:type="dxa"/>
              <w:right w:w="120" w:type="dxa"/>
            </w:tcMar>
            <w:vAlign w:val="center"/>
          </w:tcPr>
          <w:p w14:paraId="15B982D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w:t>
            </w:r>
          </w:p>
        </w:tc>
        <w:tc>
          <w:tcPr>
            <w:tcW w:w="1600" w:type="dxa"/>
            <w:tcMar>
              <w:top w:w="80" w:type="dxa"/>
              <w:left w:w="120" w:type="dxa"/>
              <w:bottom w:w="80" w:type="dxa"/>
              <w:right w:w="120" w:type="dxa"/>
            </w:tcMar>
            <w:vAlign w:val="center"/>
          </w:tcPr>
          <w:p w14:paraId="08DD1DA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Quality features</w:t>
            </w:r>
          </w:p>
        </w:tc>
        <w:tc>
          <w:tcPr>
            <w:tcW w:w="3600" w:type="dxa"/>
            <w:tcMar>
              <w:top w:w="80" w:type="dxa"/>
              <w:left w:w="120" w:type="dxa"/>
              <w:bottom w:w="80" w:type="dxa"/>
              <w:right w:w="120" w:type="dxa"/>
            </w:tcMar>
            <w:vAlign w:val="center"/>
          </w:tcPr>
          <w:p w14:paraId="25C6E48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Label free quality features extracted from the explanation and its grounding properties.</w:t>
            </w:r>
          </w:p>
        </w:tc>
        <w:tc>
          <w:tcPr>
            <w:tcW w:w="3360" w:type="dxa"/>
            <w:tcMar>
              <w:top w:w="80" w:type="dxa"/>
              <w:left w:w="120" w:type="dxa"/>
              <w:bottom w:w="80" w:type="dxa"/>
              <w:right w:w="120" w:type="dxa"/>
            </w:tcMar>
            <w:vAlign w:val="center"/>
          </w:tcPr>
          <w:p w14:paraId="5A393773" w14:textId="77777777" w:rsidR="008B557D" w:rsidRPr="00EF09ED" w:rsidRDefault="00230C3C" w:rsidP="00C20D57">
            <w:pPr>
              <w:spacing w:after="0" w:line="252" w:lineRule="auto"/>
              <w:jc w:val="both"/>
              <w:rPr>
                <w:rFonts w:ascii="Arial" w:hAnsi="Arial" w:cs="Arial"/>
                <w:color w:val="auto"/>
                <w:sz w:val="24"/>
                <w:szCs w:val="24"/>
              </w:rPr>
            </w:pPr>
            <w:proofErr w:type="gramStart"/>
            <w:r w:rsidRPr="00EF09ED">
              <w:rPr>
                <w:rFonts w:ascii="Arial" w:hAnsi="Arial" w:cs="Arial"/>
                <w:color w:val="auto"/>
                <w:sz w:val="24"/>
                <w:szCs w:val="24"/>
              </w:rPr>
              <w:t>Signals</w:t>
            </w:r>
            <w:proofErr w:type="gramEnd"/>
            <w:r w:rsidRPr="00EF09ED">
              <w:rPr>
                <w:rFonts w:ascii="Arial" w:hAnsi="Arial" w:cs="Arial"/>
                <w:color w:val="auto"/>
                <w:sz w:val="24"/>
                <w:szCs w:val="24"/>
              </w:rPr>
              <w:t xml:space="preserve"> reliability of the explanation to the fusion module.</w:t>
            </w:r>
          </w:p>
        </w:tc>
      </w:tr>
      <w:tr w:rsidR="00EF09ED" w:rsidRPr="00EF09ED" w14:paraId="1E2AF890" w14:textId="77777777">
        <w:tc>
          <w:tcPr>
            <w:tcW w:w="800" w:type="dxa"/>
            <w:tcMar>
              <w:top w:w="80" w:type="dxa"/>
              <w:left w:w="120" w:type="dxa"/>
              <w:bottom w:w="80" w:type="dxa"/>
              <w:right w:w="120" w:type="dxa"/>
            </w:tcMar>
            <w:vAlign w:val="center"/>
          </w:tcPr>
          <w:p w14:paraId="0D85C33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G</w:t>
            </w:r>
          </w:p>
        </w:tc>
        <w:tc>
          <w:tcPr>
            <w:tcW w:w="1600" w:type="dxa"/>
            <w:tcMar>
              <w:top w:w="80" w:type="dxa"/>
              <w:left w:w="120" w:type="dxa"/>
              <w:bottom w:w="80" w:type="dxa"/>
              <w:right w:w="120" w:type="dxa"/>
            </w:tcMar>
            <w:vAlign w:val="center"/>
          </w:tcPr>
          <w:p w14:paraId="5F9F77D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Gated fusion</w:t>
            </w:r>
          </w:p>
        </w:tc>
        <w:tc>
          <w:tcPr>
            <w:tcW w:w="3600" w:type="dxa"/>
            <w:tcMar>
              <w:top w:w="80" w:type="dxa"/>
              <w:left w:w="120" w:type="dxa"/>
              <w:bottom w:w="80" w:type="dxa"/>
              <w:right w:w="120" w:type="dxa"/>
            </w:tcMar>
            <w:vAlign w:val="center"/>
          </w:tcPr>
          <w:p w14:paraId="03C6336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Quality aware adaptive fusion over cach</w:t>
            </w:r>
            <w:r w:rsidRPr="00EF09ED">
              <w:rPr>
                <w:rFonts w:ascii="Arial" w:hAnsi="Arial" w:cs="Arial"/>
                <w:color w:val="auto"/>
                <w:sz w:val="24"/>
                <w:szCs w:val="24"/>
              </w:rPr>
              <w:t>ed code embeddings, explanation embeddings, and quality features.</w:t>
            </w:r>
          </w:p>
        </w:tc>
        <w:tc>
          <w:tcPr>
            <w:tcW w:w="3360" w:type="dxa"/>
            <w:tcMar>
              <w:top w:w="80" w:type="dxa"/>
              <w:left w:w="120" w:type="dxa"/>
              <w:bottom w:w="80" w:type="dxa"/>
              <w:right w:w="120" w:type="dxa"/>
            </w:tcMar>
            <w:vAlign w:val="center"/>
          </w:tcPr>
          <w:p w14:paraId="65AFA3C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Learns how much to rely on each channel for a given sample.</w:t>
            </w:r>
          </w:p>
        </w:tc>
      </w:tr>
      <w:tr w:rsidR="008B557D" w:rsidRPr="00EF09ED" w14:paraId="1D7E739F" w14:textId="77777777">
        <w:tc>
          <w:tcPr>
            <w:tcW w:w="800" w:type="dxa"/>
            <w:tcMar>
              <w:top w:w="80" w:type="dxa"/>
              <w:left w:w="120" w:type="dxa"/>
              <w:bottom w:w="80" w:type="dxa"/>
              <w:right w:w="120" w:type="dxa"/>
            </w:tcMar>
            <w:vAlign w:val="center"/>
          </w:tcPr>
          <w:p w14:paraId="718E7C0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I</w:t>
            </w:r>
          </w:p>
        </w:tc>
        <w:tc>
          <w:tcPr>
            <w:tcW w:w="1600" w:type="dxa"/>
            <w:tcMar>
              <w:top w:w="80" w:type="dxa"/>
              <w:left w:w="120" w:type="dxa"/>
              <w:bottom w:w="80" w:type="dxa"/>
              <w:right w:w="120" w:type="dxa"/>
            </w:tcMar>
            <w:vAlign w:val="center"/>
          </w:tcPr>
          <w:p w14:paraId="0239494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Imbalance strategy</w:t>
            </w:r>
          </w:p>
        </w:tc>
        <w:tc>
          <w:tcPr>
            <w:tcW w:w="3600" w:type="dxa"/>
            <w:tcMar>
              <w:top w:w="80" w:type="dxa"/>
              <w:left w:w="120" w:type="dxa"/>
              <w:bottom w:w="80" w:type="dxa"/>
              <w:right w:w="120" w:type="dxa"/>
            </w:tcMar>
            <w:vAlign w:val="center"/>
          </w:tcPr>
          <w:p w14:paraId="6ABDD55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Focal loss, capped class weighting, </w:t>
            </w:r>
            <w:proofErr w:type="gramStart"/>
            <w:r w:rsidRPr="00EF09ED">
              <w:rPr>
                <w:rFonts w:ascii="Arial" w:hAnsi="Arial" w:cs="Arial"/>
                <w:color w:val="auto"/>
                <w:sz w:val="24"/>
                <w:szCs w:val="24"/>
              </w:rPr>
              <w:t>validation based</w:t>
            </w:r>
            <w:proofErr w:type="gramEnd"/>
            <w:r w:rsidRPr="00EF09ED">
              <w:rPr>
                <w:rFonts w:ascii="Arial" w:hAnsi="Arial" w:cs="Arial"/>
                <w:color w:val="auto"/>
                <w:sz w:val="24"/>
                <w:szCs w:val="24"/>
              </w:rPr>
              <w:t xml:space="preserve"> threshold tuning, and multi seed ensembling.</w:t>
            </w:r>
          </w:p>
        </w:tc>
        <w:tc>
          <w:tcPr>
            <w:tcW w:w="3360" w:type="dxa"/>
            <w:tcMar>
              <w:top w:w="80" w:type="dxa"/>
              <w:left w:w="120" w:type="dxa"/>
              <w:bottom w:w="80" w:type="dxa"/>
              <w:right w:w="120" w:type="dxa"/>
            </w:tcMar>
            <w:vAlign w:val="center"/>
          </w:tcPr>
          <w:p w14:paraId="0FADE6D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Improves minority class detection and stabilizes the precision recall trade off.</w:t>
            </w:r>
          </w:p>
        </w:tc>
      </w:tr>
    </w:tbl>
    <w:p w14:paraId="17264B3E" w14:textId="77777777" w:rsidR="008B557D" w:rsidRPr="00EF09ED" w:rsidRDefault="008B557D" w:rsidP="00C20D57">
      <w:pPr>
        <w:spacing w:after="80"/>
        <w:jc w:val="both"/>
        <w:rPr>
          <w:rFonts w:ascii="Arial" w:hAnsi="Arial" w:cs="Arial"/>
          <w:color w:val="auto"/>
          <w:sz w:val="24"/>
          <w:szCs w:val="24"/>
        </w:rPr>
      </w:pPr>
    </w:p>
    <w:p w14:paraId="33215102" w14:textId="77777777" w:rsidR="008B557D" w:rsidRPr="00EF09ED" w:rsidRDefault="00230C3C" w:rsidP="00C20D57">
      <w:pPr>
        <w:pStyle w:val="Heading1"/>
        <w:jc w:val="both"/>
        <w:rPr>
          <w:rFonts w:ascii="Arial" w:hAnsi="Arial" w:cs="Arial"/>
          <w:color w:val="auto"/>
          <w:sz w:val="24"/>
          <w:szCs w:val="24"/>
        </w:rPr>
      </w:pPr>
      <w:r w:rsidRPr="00EF09ED">
        <w:rPr>
          <w:rFonts w:ascii="Arial" w:hAnsi="Arial" w:cs="Arial"/>
          <w:color w:val="auto"/>
          <w:sz w:val="24"/>
          <w:szCs w:val="24"/>
        </w:rPr>
        <w:lastRenderedPageBreak/>
        <w:t>4. Research Questions and Hypotheses</w:t>
      </w:r>
    </w:p>
    <w:p w14:paraId="202D7825"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 xml:space="preserve">The following hypotheses are pre-registered before running the ablations. All configurations will be reported regardless of whether the </w:t>
      </w:r>
      <w:r w:rsidRPr="00EF09ED">
        <w:rPr>
          <w:rFonts w:ascii="Arial" w:hAnsi="Arial" w:cs="Arial"/>
          <w:color w:val="auto"/>
          <w:sz w:val="24"/>
          <w:szCs w:val="24"/>
        </w:rPr>
        <w:t>hypothesis is supported. This prevents selective reporting and keeps the ablation study auditable.</w:t>
      </w:r>
    </w:p>
    <w:tbl>
      <w:tblPr>
        <w:tblStyle w:val="TableGrid"/>
        <w:tblW w:w="9360" w:type="dxa"/>
        <w:tblInd w:w="120" w:type="dxa"/>
        <w:tblLayout w:type="fixed"/>
        <w:tblLook w:val="04A0" w:firstRow="1" w:lastRow="0" w:firstColumn="1" w:lastColumn="0" w:noHBand="0" w:noVBand="1"/>
      </w:tblPr>
      <w:tblGrid>
        <w:gridCol w:w="810"/>
        <w:gridCol w:w="3190"/>
        <w:gridCol w:w="2800"/>
        <w:gridCol w:w="2560"/>
      </w:tblGrid>
      <w:tr w:rsidR="00EF09ED" w:rsidRPr="00EF09ED" w14:paraId="3B46667C" w14:textId="77777777" w:rsidTr="00423D95">
        <w:tc>
          <w:tcPr>
            <w:tcW w:w="810" w:type="dxa"/>
            <w:shd w:val="clear" w:color="auto" w:fill="F2F4F7"/>
            <w:tcMar>
              <w:top w:w="80" w:type="dxa"/>
              <w:left w:w="120" w:type="dxa"/>
              <w:bottom w:w="80" w:type="dxa"/>
              <w:right w:w="120" w:type="dxa"/>
            </w:tcMar>
            <w:vAlign w:val="center"/>
          </w:tcPr>
          <w:p w14:paraId="0B66E2AF"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RQ</w:t>
            </w:r>
          </w:p>
        </w:tc>
        <w:tc>
          <w:tcPr>
            <w:tcW w:w="3190" w:type="dxa"/>
            <w:shd w:val="clear" w:color="auto" w:fill="F2F4F7"/>
            <w:tcMar>
              <w:top w:w="80" w:type="dxa"/>
              <w:left w:w="120" w:type="dxa"/>
              <w:bottom w:w="80" w:type="dxa"/>
              <w:right w:w="120" w:type="dxa"/>
            </w:tcMar>
            <w:vAlign w:val="center"/>
          </w:tcPr>
          <w:p w14:paraId="051312BE"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Question</w:t>
            </w:r>
          </w:p>
        </w:tc>
        <w:tc>
          <w:tcPr>
            <w:tcW w:w="2800" w:type="dxa"/>
            <w:shd w:val="clear" w:color="auto" w:fill="F2F4F7"/>
            <w:tcMar>
              <w:top w:w="80" w:type="dxa"/>
              <w:left w:w="120" w:type="dxa"/>
              <w:bottom w:w="80" w:type="dxa"/>
              <w:right w:w="120" w:type="dxa"/>
            </w:tcMar>
            <w:vAlign w:val="center"/>
          </w:tcPr>
          <w:p w14:paraId="47C2BB38"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Comparison</w:t>
            </w:r>
          </w:p>
        </w:tc>
        <w:tc>
          <w:tcPr>
            <w:tcW w:w="2560" w:type="dxa"/>
            <w:shd w:val="clear" w:color="auto" w:fill="F2F4F7"/>
            <w:tcMar>
              <w:top w:w="80" w:type="dxa"/>
              <w:left w:w="120" w:type="dxa"/>
              <w:bottom w:w="80" w:type="dxa"/>
              <w:right w:w="120" w:type="dxa"/>
            </w:tcMar>
            <w:vAlign w:val="center"/>
          </w:tcPr>
          <w:p w14:paraId="14953607"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Hypothesis</w:t>
            </w:r>
          </w:p>
        </w:tc>
      </w:tr>
      <w:tr w:rsidR="00EF09ED" w:rsidRPr="00EF09ED" w14:paraId="0C163411" w14:textId="77777777" w:rsidTr="00423D95">
        <w:tc>
          <w:tcPr>
            <w:tcW w:w="810" w:type="dxa"/>
            <w:tcMar>
              <w:top w:w="80" w:type="dxa"/>
              <w:left w:w="120" w:type="dxa"/>
              <w:bottom w:w="80" w:type="dxa"/>
              <w:right w:w="120" w:type="dxa"/>
            </w:tcMar>
            <w:vAlign w:val="center"/>
          </w:tcPr>
          <w:p w14:paraId="16D688E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RQ1</w:t>
            </w:r>
          </w:p>
        </w:tc>
        <w:tc>
          <w:tcPr>
            <w:tcW w:w="3190" w:type="dxa"/>
            <w:tcMar>
              <w:top w:w="80" w:type="dxa"/>
              <w:left w:w="120" w:type="dxa"/>
              <w:bottom w:w="80" w:type="dxa"/>
              <w:right w:w="120" w:type="dxa"/>
            </w:tcMar>
            <w:vAlign w:val="center"/>
          </w:tcPr>
          <w:p w14:paraId="3F4DCD72"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To what extent do locally generated, verdict scrubbed, evidence grounded explanations improve explanation </w:t>
            </w:r>
            <w:r w:rsidRPr="00EF09ED">
              <w:rPr>
                <w:rFonts w:ascii="Arial" w:hAnsi="Arial" w:cs="Arial"/>
                <w:color w:val="auto"/>
                <w:sz w:val="24"/>
                <w:szCs w:val="24"/>
              </w:rPr>
              <w:t>faithfulness and downstream vulnerability detection as compared with FuSEVul style free form LLM explanations?</w:t>
            </w:r>
          </w:p>
        </w:tc>
        <w:tc>
          <w:tcPr>
            <w:tcW w:w="2800" w:type="dxa"/>
            <w:tcMar>
              <w:top w:w="80" w:type="dxa"/>
              <w:left w:w="120" w:type="dxa"/>
              <w:bottom w:w="80" w:type="dxa"/>
              <w:right w:w="120" w:type="dxa"/>
            </w:tcMar>
            <w:vAlign w:val="center"/>
          </w:tcPr>
          <w:p w14:paraId="26CF609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Structured evidence grounded explanations versus FuSEVul style free form explanations; with and without verdict scrubbing; with and without evide</w:t>
            </w:r>
            <w:r w:rsidRPr="00EF09ED">
              <w:rPr>
                <w:rFonts w:ascii="Arial" w:hAnsi="Arial" w:cs="Arial"/>
                <w:color w:val="auto"/>
                <w:sz w:val="24"/>
                <w:szCs w:val="24"/>
              </w:rPr>
              <w:t>nce grounding.</w:t>
            </w:r>
          </w:p>
        </w:tc>
        <w:tc>
          <w:tcPr>
            <w:tcW w:w="2560" w:type="dxa"/>
            <w:tcMar>
              <w:top w:w="80" w:type="dxa"/>
              <w:left w:w="120" w:type="dxa"/>
              <w:bottom w:w="80" w:type="dxa"/>
              <w:right w:w="120" w:type="dxa"/>
            </w:tcMar>
            <w:vAlign w:val="center"/>
          </w:tcPr>
          <w:p w14:paraId="7CBA247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Structured, verdict scrubbed, evidence grounded explanations will reduce leakage, improve grounding, and improve downstream detection compared with free form explanations.</w:t>
            </w:r>
          </w:p>
        </w:tc>
      </w:tr>
      <w:tr w:rsidR="00EF09ED" w:rsidRPr="00EF09ED" w14:paraId="3201BAF4" w14:textId="77777777" w:rsidTr="00423D95">
        <w:tc>
          <w:tcPr>
            <w:tcW w:w="810" w:type="dxa"/>
            <w:tcMar>
              <w:top w:w="80" w:type="dxa"/>
              <w:left w:w="120" w:type="dxa"/>
              <w:bottom w:w="80" w:type="dxa"/>
              <w:right w:w="120" w:type="dxa"/>
            </w:tcMar>
            <w:vAlign w:val="center"/>
          </w:tcPr>
          <w:p w14:paraId="4AD8184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RQ2</w:t>
            </w:r>
          </w:p>
        </w:tc>
        <w:tc>
          <w:tcPr>
            <w:tcW w:w="3190" w:type="dxa"/>
            <w:tcMar>
              <w:top w:w="80" w:type="dxa"/>
              <w:left w:w="120" w:type="dxa"/>
              <w:bottom w:w="80" w:type="dxa"/>
              <w:right w:w="120" w:type="dxa"/>
            </w:tcMar>
            <w:vAlign w:val="center"/>
          </w:tcPr>
          <w:p w14:paraId="5F27A2F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How does quality aware adaptive gated fusion compare with </w:t>
            </w:r>
            <w:r w:rsidRPr="00EF09ED">
              <w:rPr>
                <w:rFonts w:ascii="Arial" w:hAnsi="Arial" w:cs="Arial"/>
                <w:color w:val="auto"/>
                <w:sz w:val="24"/>
                <w:szCs w:val="24"/>
              </w:rPr>
              <w:t>static fusion, single modality models, and classical cached feature baselines in vulnerability detection performance and training efficiency?</w:t>
            </w:r>
          </w:p>
        </w:tc>
        <w:tc>
          <w:tcPr>
            <w:tcW w:w="2800" w:type="dxa"/>
            <w:tcMar>
              <w:top w:w="80" w:type="dxa"/>
              <w:left w:w="120" w:type="dxa"/>
              <w:bottom w:w="80" w:type="dxa"/>
              <w:right w:w="120" w:type="dxa"/>
            </w:tcMar>
            <w:vAlign w:val="center"/>
          </w:tcPr>
          <w:p w14:paraId="0EA4F69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 gated fusion versus static fusion, code-only, explanation-only, code plus quality features, and classical cac</w:t>
            </w:r>
            <w:r w:rsidRPr="00EF09ED">
              <w:rPr>
                <w:rFonts w:ascii="Arial" w:hAnsi="Arial" w:cs="Arial"/>
                <w:color w:val="auto"/>
                <w:sz w:val="24"/>
                <w:szCs w:val="24"/>
              </w:rPr>
              <w:t>hed feature baselines.</w:t>
            </w:r>
          </w:p>
        </w:tc>
        <w:tc>
          <w:tcPr>
            <w:tcW w:w="2560" w:type="dxa"/>
            <w:tcMar>
              <w:top w:w="80" w:type="dxa"/>
              <w:left w:w="120" w:type="dxa"/>
              <w:bottom w:w="80" w:type="dxa"/>
              <w:right w:w="120" w:type="dxa"/>
            </w:tcMar>
            <w:vAlign w:val="center"/>
          </w:tcPr>
          <w:p w14:paraId="6995C70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Quality aware adaptive gated fusion will improve F1 and PR AUC over static fusion and single-modality variants while keeping training cost low because encoders are frozen and cached.</w:t>
            </w:r>
          </w:p>
        </w:tc>
      </w:tr>
      <w:tr w:rsidR="00EF09ED" w:rsidRPr="00EF09ED" w14:paraId="38BE7CF5" w14:textId="77777777" w:rsidTr="00423D95">
        <w:tc>
          <w:tcPr>
            <w:tcW w:w="810" w:type="dxa"/>
            <w:tcMar>
              <w:top w:w="80" w:type="dxa"/>
              <w:left w:w="120" w:type="dxa"/>
              <w:bottom w:w="80" w:type="dxa"/>
              <w:right w:w="120" w:type="dxa"/>
            </w:tcMar>
            <w:vAlign w:val="center"/>
          </w:tcPr>
          <w:p w14:paraId="076DE0D6"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RQ3</w:t>
            </w:r>
          </w:p>
        </w:tc>
        <w:tc>
          <w:tcPr>
            <w:tcW w:w="3190" w:type="dxa"/>
            <w:tcMar>
              <w:top w:w="80" w:type="dxa"/>
              <w:left w:w="120" w:type="dxa"/>
              <w:bottom w:w="80" w:type="dxa"/>
              <w:right w:w="120" w:type="dxa"/>
            </w:tcMar>
            <w:vAlign w:val="center"/>
          </w:tcPr>
          <w:p w14:paraId="1D571C1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Under the audited Devign and Reveal splits, h</w:t>
            </w:r>
            <w:r w:rsidRPr="00EF09ED">
              <w:rPr>
                <w:rFonts w:ascii="Arial" w:hAnsi="Arial" w:cs="Arial"/>
                <w:color w:val="auto"/>
                <w:sz w:val="24"/>
                <w:szCs w:val="24"/>
              </w:rPr>
              <w:t>ow does SemanticVul compare with FuSEVul and representative baselines in predictive performance, threshold robustness, and low resource training feasibility?</w:t>
            </w:r>
          </w:p>
        </w:tc>
        <w:tc>
          <w:tcPr>
            <w:tcW w:w="2800" w:type="dxa"/>
            <w:tcMar>
              <w:top w:w="80" w:type="dxa"/>
              <w:left w:w="120" w:type="dxa"/>
              <w:bottom w:w="80" w:type="dxa"/>
              <w:right w:w="120" w:type="dxa"/>
            </w:tcMar>
            <w:vAlign w:val="center"/>
          </w:tcPr>
          <w:p w14:paraId="31DCF6C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 SemanticVul model versus FuSEVul and representative baselines under the same audited protocol</w:t>
            </w:r>
            <w:r w:rsidRPr="00EF09ED">
              <w:rPr>
                <w:rFonts w:ascii="Arial" w:hAnsi="Arial" w:cs="Arial"/>
                <w:color w:val="auto"/>
                <w:sz w:val="24"/>
                <w:szCs w:val="24"/>
              </w:rPr>
              <w:t>.</w:t>
            </w:r>
          </w:p>
        </w:tc>
        <w:tc>
          <w:tcPr>
            <w:tcW w:w="2560" w:type="dxa"/>
            <w:tcMar>
              <w:top w:w="80" w:type="dxa"/>
              <w:left w:w="120" w:type="dxa"/>
              <w:bottom w:w="80" w:type="dxa"/>
              <w:right w:w="120" w:type="dxa"/>
            </w:tcMar>
            <w:vAlign w:val="center"/>
          </w:tcPr>
          <w:p w14:paraId="04F4A73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SemanticVul will be competitive with, or stronger than, the comparison baselines and will show more transparent threshold behavior under the audited splits.</w:t>
            </w:r>
          </w:p>
        </w:tc>
      </w:tr>
      <w:tr w:rsidR="00423D95" w:rsidRPr="00EF09ED" w14:paraId="0572E950" w14:textId="77777777" w:rsidTr="00423D95">
        <w:tc>
          <w:tcPr>
            <w:tcW w:w="810" w:type="dxa"/>
            <w:tcMar>
              <w:top w:w="80" w:type="dxa"/>
              <w:left w:w="120" w:type="dxa"/>
              <w:bottom w:w="80" w:type="dxa"/>
              <w:right w:w="120" w:type="dxa"/>
            </w:tcMar>
            <w:vAlign w:val="center"/>
          </w:tcPr>
          <w:p w14:paraId="7ECC9665"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RQ4</w:t>
            </w:r>
          </w:p>
        </w:tc>
        <w:tc>
          <w:tcPr>
            <w:tcW w:w="3190" w:type="dxa"/>
            <w:tcMar>
              <w:top w:w="80" w:type="dxa"/>
              <w:left w:w="120" w:type="dxa"/>
              <w:bottom w:w="80" w:type="dxa"/>
              <w:right w:w="120" w:type="dxa"/>
            </w:tcMar>
            <w:vAlign w:val="center"/>
          </w:tcPr>
          <w:p w14:paraId="09B2A74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What are the individual and combined effects of imbalance aware loss functions, </w:t>
            </w:r>
            <w:proofErr w:type="gramStart"/>
            <w:r w:rsidRPr="00EF09ED">
              <w:rPr>
                <w:rFonts w:ascii="Arial" w:hAnsi="Arial" w:cs="Arial"/>
                <w:color w:val="auto"/>
                <w:sz w:val="24"/>
                <w:szCs w:val="24"/>
              </w:rPr>
              <w:t>validation b</w:t>
            </w:r>
            <w:r w:rsidRPr="00EF09ED">
              <w:rPr>
                <w:rFonts w:ascii="Arial" w:hAnsi="Arial" w:cs="Arial"/>
                <w:color w:val="auto"/>
                <w:sz w:val="24"/>
                <w:szCs w:val="24"/>
              </w:rPr>
              <w:t>ased</w:t>
            </w:r>
            <w:proofErr w:type="gramEnd"/>
            <w:r w:rsidRPr="00EF09ED">
              <w:rPr>
                <w:rFonts w:ascii="Arial" w:hAnsi="Arial" w:cs="Arial"/>
                <w:color w:val="auto"/>
                <w:sz w:val="24"/>
                <w:szCs w:val="24"/>
              </w:rPr>
              <w:t xml:space="preserve"> threshold tuning, and multi </w:t>
            </w:r>
            <w:r w:rsidRPr="00EF09ED">
              <w:rPr>
                <w:rFonts w:ascii="Arial" w:hAnsi="Arial" w:cs="Arial"/>
                <w:color w:val="auto"/>
                <w:sz w:val="24"/>
                <w:szCs w:val="24"/>
              </w:rPr>
              <w:lastRenderedPageBreak/>
              <w:t>seed ensembling on minority class detection and the precision recall trade off?</w:t>
            </w:r>
          </w:p>
        </w:tc>
        <w:tc>
          <w:tcPr>
            <w:tcW w:w="2800" w:type="dxa"/>
            <w:tcMar>
              <w:top w:w="80" w:type="dxa"/>
              <w:left w:w="120" w:type="dxa"/>
              <w:bottom w:w="80" w:type="dxa"/>
              <w:right w:w="120" w:type="dxa"/>
            </w:tcMar>
            <w:vAlign w:val="center"/>
          </w:tcPr>
          <w:p w14:paraId="25C797D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lastRenderedPageBreak/>
              <w:t xml:space="preserve">Full imbalance strategy versus removal or isolated addition of focal loss, capped class weighting, threshold </w:t>
            </w:r>
            <w:r w:rsidRPr="00EF09ED">
              <w:rPr>
                <w:rFonts w:ascii="Arial" w:hAnsi="Arial" w:cs="Arial"/>
                <w:color w:val="auto"/>
                <w:sz w:val="24"/>
                <w:szCs w:val="24"/>
              </w:rPr>
              <w:lastRenderedPageBreak/>
              <w:t>tuning, and multi seed ensembling.</w:t>
            </w:r>
          </w:p>
        </w:tc>
        <w:tc>
          <w:tcPr>
            <w:tcW w:w="2560" w:type="dxa"/>
            <w:tcMar>
              <w:top w:w="80" w:type="dxa"/>
              <w:left w:w="120" w:type="dxa"/>
              <w:bottom w:w="80" w:type="dxa"/>
              <w:right w:w="120" w:type="dxa"/>
            </w:tcMar>
            <w:vAlign w:val="center"/>
          </w:tcPr>
          <w:p w14:paraId="751A1A6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lastRenderedPageBreak/>
              <w:t xml:space="preserve">Validation based threshold tuning and imbalance aware training will improve minority class Recall </w:t>
            </w:r>
            <w:r w:rsidRPr="00EF09ED">
              <w:rPr>
                <w:rFonts w:ascii="Arial" w:hAnsi="Arial" w:cs="Arial"/>
                <w:color w:val="auto"/>
                <w:sz w:val="24"/>
                <w:szCs w:val="24"/>
              </w:rPr>
              <w:lastRenderedPageBreak/>
              <w:t>and PR AUC; ensembling will mainly improve stability across seeds.</w:t>
            </w:r>
          </w:p>
        </w:tc>
      </w:tr>
    </w:tbl>
    <w:p w14:paraId="246D4F19" w14:textId="77777777" w:rsidR="008B557D" w:rsidRPr="00EF09ED" w:rsidRDefault="008B557D" w:rsidP="00C20D57">
      <w:pPr>
        <w:spacing w:after="80"/>
        <w:jc w:val="both"/>
        <w:rPr>
          <w:rFonts w:ascii="Arial" w:hAnsi="Arial" w:cs="Arial"/>
          <w:color w:val="auto"/>
          <w:sz w:val="24"/>
          <w:szCs w:val="24"/>
        </w:rPr>
      </w:pPr>
    </w:p>
    <w:p w14:paraId="10802BEE" w14:textId="77777777" w:rsidR="008B557D" w:rsidRPr="00EF09ED" w:rsidRDefault="00230C3C" w:rsidP="00C20D57">
      <w:pPr>
        <w:pStyle w:val="Heading1"/>
        <w:jc w:val="both"/>
        <w:rPr>
          <w:rFonts w:ascii="Arial" w:hAnsi="Arial" w:cs="Arial"/>
          <w:color w:val="auto"/>
          <w:sz w:val="24"/>
          <w:szCs w:val="24"/>
        </w:rPr>
      </w:pPr>
      <w:r w:rsidRPr="00EF09ED">
        <w:rPr>
          <w:rFonts w:ascii="Arial" w:hAnsi="Arial" w:cs="Arial"/>
          <w:color w:val="auto"/>
          <w:sz w:val="24"/>
          <w:szCs w:val="24"/>
        </w:rPr>
        <w:t>5. Ablation Configurations</w:t>
      </w:r>
    </w:p>
    <w:p w14:paraId="202205A1"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The core study uses two complementary views. The component la</w:t>
      </w:r>
      <w:r w:rsidRPr="00EF09ED">
        <w:rPr>
          <w:rFonts w:ascii="Arial" w:hAnsi="Arial" w:cs="Arial"/>
          <w:color w:val="auto"/>
          <w:sz w:val="24"/>
          <w:szCs w:val="24"/>
        </w:rPr>
        <w:t>dder starts from the simplest useful detector and adds blocks step by step. The leave-one-out view starts from the complete model and removes one block at a time. Together, these two views report both additive benefit and marginal necessity.</w:t>
      </w:r>
    </w:p>
    <w:tbl>
      <w:tblPr>
        <w:tblStyle w:val="TableGrid"/>
        <w:tblW w:w="10120" w:type="dxa"/>
        <w:tblInd w:w="120" w:type="dxa"/>
        <w:tblLayout w:type="fixed"/>
        <w:tblLook w:val="04A0" w:firstRow="1" w:lastRow="0" w:firstColumn="1" w:lastColumn="0" w:noHBand="0" w:noVBand="1"/>
      </w:tblPr>
      <w:tblGrid>
        <w:gridCol w:w="900"/>
        <w:gridCol w:w="764"/>
        <w:gridCol w:w="764"/>
        <w:gridCol w:w="856"/>
        <w:gridCol w:w="2100"/>
        <w:gridCol w:w="1236"/>
        <w:gridCol w:w="3500"/>
      </w:tblGrid>
      <w:tr w:rsidR="00EF09ED" w:rsidRPr="00EF09ED" w14:paraId="5A5D77E9" w14:textId="77777777" w:rsidTr="00423D95">
        <w:tc>
          <w:tcPr>
            <w:tcW w:w="900" w:type="dxa"/>
            <w:shd w:val="clear" w:color="auto" w:fill="F2F4F7"/>
            <w:tcMar>
              <w:top w:w="80" w:type="dxa"/>
              <w:left w:w="120" w:type="dxa"/>
              <w:bottom w:w="80" w:type="dxa"/>
              <w:right w:w="120" w:type="dxa"/>
            </w:tcMar>
            <w:vAlign w:val="center"/>
          </w:tcPr>
          <w:p w14:paraId="543EC5DB"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Config</w:t>
            </w:r>
          </w:p>
        </w:tc>
        <w:tc>
          <w:tcPr>
            <w:tcW w:w="764" w:type="dxa"/>
            <w:shd w:val="clear" w:color="auto" w:fill="F2F4F7"/>
            <w:tcMar>
              <w:top w:w="80" w:type="dxa"/>
              <w:left w:w="120" w:type="dxa"/>
              <w:bottom w:w="80" w:type="dxa"/>
              <w:right w:w="120" w:type="dxa"/>
            </w:tcMar>
            <w:vAlign w:val="center"/>
          </w:tcPr>
          <w:p w14:paraId="073950A2"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C</w:t>
            </w:r>
          </w:p>
        </w:tc>
        <w:tc>
          <w:tcPr>
            <w:tcW w:w="764" w:type="dxa"/>
            <w:shd w:val="clear" w:color="auto" w:fill="F2F4F7"/>
            <w:tcMar>
              <w:top w:w="80" w:type="dxa"/>
              <w:left w:w="120" w:type="dxa"/>
              <w:bottom w:w="80" w:type="dxa"/>
              <w:right w:w="120" w:type="dxa"/>
            </w:tcMar>
            <w:vAlign w:val="center"/>
          </w:tcPr>
          <w:p w14:paraId="3CD703CF"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E</w:t>
            </w:r>
          </w:p>
        </w:tc>
        <w:tc>
          <w:tcPr>
            <w:tcW w:w="856" w:type="dxa"/>
            <w:shd w:val="clear" w:color="auto" w:fill="F2F4F7"/>
            <w:tcMar>
              <w:top w:w="80" w:type="dxa"/>
              <w:left w:w="120" w:type="dxa"/>
              <w:bottom w:w="80" w:type="dxa"/>
              <w:right w:w="120" w:type="dxa"/>
            </w:tcMar>
            <w:vAlign w:val="center"/>
          </w:tcPr>
          <w:p w14:paraId="1FB9F571"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Q</w:t>
            </w:r>
          </w:p>
        </w:tc>
        <w:tc>
          <w:tcPr>
            <w:tcW w:w="2100" w:type="dxa"/>
            <w:shd w:val="clear" w:color="auto" w:fill="F2F4F7"/>
            <w:tcMar>
              <w:top w:w="80" w:type="dxa"/>
              <w:left w:w="120" w:type="dxa"/>
              <w:bottom w:w="80" w:type="dxa"/>
              <w:right w:w="120" w:type="dxa"/>
            </w:tcMar>
            <w:vAlign w:val="center"/>
          </w:tcPr>
          <w:p w14:paraId="3C09B057"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Fusion</w:t>
            </w:r>
          </w:p>
        </w:tc>
        <w:tc>
          <w:tcPr>
            <w:tcW w:w="1236" w:type="dxa"/>
            <w:shd w:val="clear" w:color="auto" w:fill="F2F4F7"/>
            <w:tcMar>
              <w:top w:w="80" w:type="dxa"/>
              <w:left w:w="120" w:type="dxa"/>
              <w:bottom w:w="80" w:type="dxa"/>
              <w:right w:w="120" w:type="dxa"/>
            </w:tcMar>
            <w:vAlign w:val="center"/>
          </w:tcPr>
          <w:p w14:paraId="5ABECD99"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Training</w:t>
            </w:r>
          </w:p>
        </w:tc>
        <w:tc>
          <w:tcPr>
            <w:tcW w:w="3500" w:type="dxa"/>
            <w:shd w:val="clear" w:color="auto" w:fill="F2F4F7"/>
            <w:tcMar>
              <w:top w:w="80" w:type="dxa"/>
              <w:left w:w="120" w:type="dxa"/>
              <w:bottom w:w="80" w:type="dxa"/>
              <w:right w:w="120" w:type="dxa"/>
            </w:tcMar>
            <w:vAlign w:val="center"/>
          </w:tcPr>
          <w:p w14:paraId="64E2582C"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Role</w:t>
            </w:r>
          </w:p>
        </w:tc>
      </w:tr>
      <w:tr w:rsidR="00EF09ED" w:rsidRPr="00EF09ED" w14:paraId="4FA81C1D" w14:textId="77777777" w:rsidTr="00423D95">
        <w:tc>
          <w:tcPr>
            <w:tcW w:w="900" w:type="dxa"/>
            <w:tcMar>
              <w:top w:w="80" w:type="dxa"/>
              <w:left w:w="120" w:type="dxa"/>
              <w:bottom w:w="80" w:type="dxa"/>
              <w:right w:w="120" w:type="dxa"/>
            </w:tcMar>
            <w:vAlign w:val="center"/>
          </w:tcPr>
          <w:p w14:paraId="4ECDFD0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L1</w:t>
            </w:r>
          </w:p>
        </w:tc>
        <w:tc>
          <w:tcPr>
            <w:tcW w:w="764" w:type="dxa"/>
            <w:tcMar>
              <w:top w:w="80" w:type="dxa"/>
              <w:left w:w="120" w:type="dxa"/>
              <w:bottom w:w="80" w:type="dxa"/>
              <w:right w:w="120" w:type="dxa"/>
            </w:tcMar>
            <w:vAlign w:val="center"/>
          </w:tcPr>
          <w:p w14:paraId="4F702DF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1DA10AD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856" w:type="dxa"/>
            <w:tcMar>
              <w:top w:w="80" w:type="dxa"/>
              <w:left w:w="120" w:type="dxa"/>
              <w:bottom w:w="80" w:type="dxa"/>
              <w:right w:w="120" w:type="dxa"/>
            </w:tcMar>
            <w:vAlign w:val="center"/>
          </w:tcPr>
          <w:p w14:paraId="4629C255"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2100" w:type="dxa"/>
            <w:tcMar>
              <w:top w:w="80" w:type="dxa"/>
              <w:left w:w="120" w:type="dxa"/>
              <w:bottom w:w="80" w:type="dxa"/>
              <w:right w:w="120" w:type="dxa"/>
            </w:tcMar>
            <w:vAlign w:val="center"/>
          </w:tcPr>
          <w:p w14:paraId="4B1103C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1236" w:type="dxa"/>
            <w:tcMar>
              <w:top w:w="80" w:type="dxa"/>
              <w:left w:w="120" w:type="dxa"/>
              <w:bottom w:w="80" w:type="dxa"/>
              <w:right w:w="120" w:type="dxa"/>
            </w:tcMar>
            <w:vAlign w:val="center"/>
          </w:tcPr>
          <w:p w14:paraId="66C9EAE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Standard</w:t>
            </w:r>
          </w:p>
        </w:tc>
        <w:tc>
          <w:tcPr>
            <w:tcW w:w="3500" w:type="dxa"/>
            <w:tcMar>
              <w:top w:w="80" w:type="dxa"/>
              <w:left w:w="120" w:type="dxa"/>
              <w:bottom w:w="80" w:type="dxa"/>
              <w:right w:w="120" w:type="dxa"/>
            </w:tcMar>
            <w:vAlign w:val="center"/>
          </w:tcPr>
          <w:p w14:paraId="6B44F64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Code-only baseline.</w:t>
            </w:r>
          </w:p>
        </w:tc>
      </w:tr>
      <w:tr w:rsidR="00EF09ED" w:rsidRPr="00EF09ED" w14:paraId="1CCE0533" w14:textId="77777777" w:rsidTr="00423D95">
        <w:tc>
          <w:tcPr>
            <w:tcW w:w="900" w:type="dxa"/>
            <w:tcMar>
              <w:top w:w="80" w:type="dxa"/>
              <w:left w:w="120" w:type="dxa"/>
              <w:bottom w:w="80" w:type="dxa"/>
              <w:right w:w="120" w:type="dxa"/>
            </w:tcMar>
            <w:vAlign w:val="center"/>
          </w:tcPr>
          <w:p w14:paraId="7F4B722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L2</w:t>
            </w:r>
          </w:p>
        </w:tc>
        <w:tc>
          <w:tcPr>
            <w:tcW w:w="764" w:type="dxa"/>
            <w:tcMar>
              <w:top w:w="80" w:type="dxa"/>
              <w:left w:w="120" w:type="dxa"/>
              <w:bottom w:w="80" w:type="dxa"/>
              <w:right w:w="120" w:type="dxa"/>
            </w:tcMar>
            <w:vAlign w:val="center"/>
          </w:tcPr>
          <w:p w14:paraId="0C67386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6EEBB98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856" w:type="dxa"/>
            <w:tcMar>
              <w:top w:w="80" w:type="dxa"/>
              <w:left w:w="120" w:type="dxa"/>
              <w:bottom w:w="80" w:type="dxa"/>
              <w:right w:w="120" w:type="dxa"/>
            </w:tcMar>
            <w:vAlign w:val="center"/>
          </w:tcPr>
          <w:p w14:paraId="643988B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2100" w:type="dxa"/>
            <w:tcMar>
              <w:top w:w="80" w:type="dxa"/>
              <w:left w:w="120" w:type="dxa"/>
              <w:bottom w:w="80" w:type="dxa"/>
              <w:right w:w="120" w:type="dxa"/>
            </w:tcMar>
            <w:vAlign w:val="center"/>
          </w:tcPr>
          <w:p w14:paraId="0E3FE86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Static or gated without Q</w:t>
            </w:r>
          </w:p>
        </w:tc>
        <w:tc>
          <w:tcPr>
            <w:tcW w:w="1236" w:type="dxa"/>
            <w:tcMar>
              <w:top w:w="80" w:type="dxa"/>
              <w:left w:w="120" w:type="dxa"/>
              <w:bottom w:w="80" w:type="dxa"/>
              <w:right w:w="120" w:type="dxa"/>
            </w:tcMar>
            <w:vAlign w:val="center"/>
          </w:tcPr>
          <w:p w14:paraId="44C4335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Standard</w:t>
            </w:r>
          </w:p>
        </w:tc>
        <w:tc>
          <w:tcPr>
            <w:tcW w:w="3500" w:type="dxa"/>
            <w:tcMar>
              <w:top w:w="80" w:type="dxa"/>
              <w:left w:w="120" w:type="dxa"/>
              <w:bottom w:w="80" w:type="dxa"/>
              <w:right w:w="120" w:type="dxa"/>
            </w:tcMar>
            <w:vAlign w:val="center"/>
          </w:tcPr>
          <w:p w14:paraId="35F1EAE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Measures the contribution of explanation embeddings.</w:t>
            </w:r>
          </w:p>
        </w:tc>
      </w:tr>
      <w:tr w:rsidR="00EF09ED" w:rsidRPr="00EF09ED" w14:paraId="5E6564B5" w14:textId="77777777" w:rsidTr="00423D95">
        <w:tc>
          <w:tcPr>
            <w:tcW w:w="900" w:type="dxa"/>
            <w:tcMar>
              <w:top w:w="80" w:type="dxa"/>
              <w:left w:w="120" w:type="dxa"/>
              <w:bottom w:w="80" w:type="dxa"/>
              <w:right w:w="120" w:type="dxa"/>
            </w:tcMar>
            <w:vAlign w:val="center"/>
          </w:tcPr>
          <w:p w14:paraId="26AA487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L3 / Full</w:t>
            </w:r>
          </w:p>
        </w:tc>
        <w:tc>
          <w:tcPr>
            <w:tcW w:w="764" w:type="dxa"/>
            <w:tcMar>
              <w:top w:w="80" w:type="dxa"/>
              <w:left w:w="120" w:type="dxa"/>
              <w:bottom w:w="80" w:type="dxa"/>
              <w:right w:w="120" w:type="dxa"/>
            </w:tcMar>
            <w:vAlign w:val="center"/>
          </w:tcPr>
          <w:p w14:paraId="6DAB26B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59F935B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856" w:type="dxa"/>
            <w:tcMar>
              <w:top w:w="80" w:type="dxa"/>
              <w:left w:w="120" w:type="dxa"/>
              <w:bottom w:w="80" w:type="dxa"/>
              <w:right w:w="120" w:type="dxa"/>
            </w:tcMar>
            <w:vAlign w:val="center"/>
          </w:tcPr>
          <w:p w14:paraId="488F65D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2100" w:type="dxa"/>
            <w:tcMar>
              <w:top w:w="80" w:type="dxa"/>
              <w:left w:w="120" w:type="dxa"/>
              <w:bottom w:w="80" w:type="dxa"/>
              <w:right w:w="120" w:type="dxa"/>
            </w:tcMar>
            <w:vAlign w:val="center"/>
          </w:tcPr>
          <w:p w14:paraId="4043665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Quality aware adaptive gated fusion</w:t>
            </w:r>
          </w:p>
        </w:tc>
        <w:tc>
          <w:tcPr>
            <w:tcW w:w="1236" w:type="dxa"/>
            <w:tcMar>
              <w:top w:w="80" w:type="dxa"/>
              <w:left w:w="120" w:type="dxa"/>
              <w:bottom w:w="80" w:type="dxa"/>
              <w:right w:w="120" w:type="dxa"/>
            </w:tcMar>
            <w:vAlign w:val="center"/>
          </w:tcPr>
          <w:p w14:paraId="74BAD586"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w:t>
            </w:r>
          </w:p>
        </w:tc>
        <w:tc>
          <w:tcPr>
            <w:tcW w:w="3500" w:type="dxa"/>
            <w:tcMar>
              <w:top w:w="80" w:type="dxa"/>
              <w:left w:w="120" w:type="dxa"/>
              <w:bottom w:w="80" w:type="dxa"/>
              <w:right w:w="120" w:type="dxa"/>
            </w:tcMar>
            <w:vAlign w:val="center"/>
          </w:tcPr>
          <w:p w14:paraId="3E9E6A6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Complete </w:t>
            </w:r>
            <w:r w:rsidRPr="00EF09ED">
              <w:rPr>
                <w:rFonts w:ascii="Arial" w:hAnsi="Arial" w:cs="Arial"/>
                <w:color w:val="auto"/>
                <w:sz w:val="24"/>
                <w:szCs w:val="24"/>
              </w:rPr>
              <w:t>SemanticVul configuration.</w:t>
            </w:r>
          </w:p>
        </w:tc>
      </w:tr>
      <w:tr w:rsidR="00EF09ED" w:rsidRPr="00EF09ED" w14:paraId="18A396E9" w14:textId="77777777" w:rsidTr="00423D95">
        <w:tc>
          <w:tcPr>
            <w:tcW w:w="900" w:type="dxa"/>
            <w:tcMar>
              <w:top w:w="80" w:type="dxa"/>
              <w:left w:w="120" w:type="dxa"/>
              <w:bottom w:w="80" w:type="dxa"/>
              <w:right w:w="120" w:type="dxa"/>
            </w:tcMar>
            <w:vAlign w:val="center"/>
          </w:tcPr>
          <w:p w14:paraId="72D56BC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w:t>
            </w:r>
            <w:proofErr w:type="spellStart"/>
            <w:r w:rsidRPr="00EF09ED">
              <w:rPr>
                <w:rFonts w:ascii="Arial" w:hAnsi="Arial" w:cs="Arial"/>
                <w:color w:val="auto"/>
                <w:sz w:val="24"/>
                <w:szCs w:val="24"/>
              </w:rPr>
              <w:t>Expl</w:t>
            </w:r>
            <w:proofErr w:type="spellEnd"/>
          </w:p>
        </w:tc>
        <w:tc>
          <w:tcPr>
            <w:tcW w:w="764" w:type="dxa"/>
            <w:tcMar>
              <w:top w:w="80" w:type="dxa"/>
              <w:left w:w="120" w:type="dxa"/>
              <w:bottom w:w="80" w:type="dxa"/>
              <w:right w:w="120" w:type="dxa"/>
            </w:tcMar>
            <w:vAlign w:val="center"/>
          </w:tcPr>
          <w:p w14:paraId="0094FDC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6ED8633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856" w:type="dxa"/>
            <w:tcMar>
              <w:top w:w="80" w:type="dxa"/>
              <w:left w:w="120" w:type="dxa"/>
              <w:bottom w:w="80" w:type="dxa"/>
              <w:right w:w="120" w:type="dxa"/>
            </w:tcMar>
            <w:vAlign w:val="center"/>
          </w:tcPr>
          <w:p w14:paraId="7E63A12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2100" w:type="dxa"/>
            <w:tcMar>
              <w:top w:w="80" w:type="dxa"/>
              <w:left w:w="120" w:type="dxa"/>
              <w:bottom w:w="80" w:type="dxa"/>
              <w:right w:w="120" w:type="dxa"/>
            </w:tcMar>
            <w:vAlign w:val="center"/>
          </w:tcPr>
          <w:p w14:paraId="4F2A4EE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 explanation channel</w:t>
            </w:r>
          </w:p>
        </w:tc>
        <w:tc>
          <w:tcPr>
            <w:tcW w:w="1236" w:type="dxa"/>
            <w:tcMar>
              <w:top w:w="80" w:type="dxa"/>
              <w:left w:w="120" w:type="dxa"/>
              <w:bottom w:w="80" w:type="dxa"/>
              <w:right w:w="120" w:type="dxa"/>
            </w:tcMar>
            <w:vAlign w:val="center"/>
          </w:tcPr>
          <w:p w14:paraId="2522BA62"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w:t>
            </w:r>
          </w:p>
        </w:tc>
        <w:tc>
          <w:tcPr>
            <w:tcW w:w="3500" w:type="dxa"/>
            <w:tcMar>
              <w:top w:w="80" w:type="dxa"/>
              <w:left w:w="120" w:type="dxa"/>
              <w:bottom w:w="80" w:type="dxa"/>
              <w:right w:w="120" w:type="dxa"/>
            </w:tcMar>
            <w:vAlign w:val="center"/>
          </w:tcPr>
          <w:p w14:paraId="405504B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Leave-one-out: removes explanation embeddings.</w:t>
            </w:r>
          </w:p>
        </w:tc>
      </w:tr>
      <w:tr w:rsidR="00EF09ED" w:rsidRPr="00EF09ED" w14:paraId="1A6BCECE" w14:textId="77777777" w:rsidTr="00423D95">
        <w:tc>
          <w:tcPr>
            <w:tcW w:w="900" w:type="dxa"/>
            <w:tcMar>
              <w:top w:w="80" w:type="dxa"/>
              <w:left w:w="120" w:type="dxa"/>
              <w:bottom w:w="80" w:type="dxa"/>
              <w:right w:w="120" w:type="dxa"/>
            </w:tcMar>
            <w:vAlign w:val="center"/>
          </w:tcPr>
          <w:p w14:paraId="56E130B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-QF</w:t>
            </w:r>
          </w:p>
        </w:tc>
        <w:tc>
          <w:tcPr>
            <w:tcW w:w="764" w:type="dxa"/>
            <w:tcMar>
              <w:top w:w="80" w:type="dxa"/>
              <w:left w:w="120" w:type="dxa"/>
              <w:bottom w:w="80" w:type="dxa"/>
              <w:right w:w="120" w:type="dxa"/>
            </w:tcMar>
            <w:vAlign w:val="center"/>
          </w:tcPr>
          <w:p w14:paraId="18171F5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4A1B4425"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856" w:type="dxa"/>
            <w:tcMar>
              <w:top w:w="80" w:type="dxa"/>
              <w:left w:w="120" w:type="dxa"/>
              <w:bottom w:w="80" w:type="dxa"/>
              <w:right w:w="120" w:type="dxa"/>
            </w:tcMar>
            <w:vAlign w:val="center"/>
          </w:tcPr>
          <w:p w14:paraId="131227F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2100" w:type="dxa"/>
            <w:tcMar>
              <w:top w:w="80" w:type="dxa"/>
              <w:left w:w="120" w:type="dxa"/>
              <w:bottom w:w="80" w:type="dxa"/>
              <w:right w:w="120" w:type="dxa"/>
            </w:tcMar>
            <w:vAlign w:val="center"/>
          </w:tcPr>
          <w:p w14:paraId="3A94177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Fusion without quality features</w:t>
            </w:r>
          </w:p>
        </w:tc>
        <w:tc>
          <w:tcPr>
            <w:tcW w:w="1236" w:type="dxa"/>
            <w:tcMar>
              <w:top w:w="80" w:type="dxa"/>
              <w:left w:w="120" w:type="dxa"/>
              <w:bottom w:w="80" w:type="dxa"/>
              <w:right w:w="120" w:type="dxa"/>
            </w:tcMar>
            <w:vAlign w:val="center"/>
          </w:tcPr>
          <w:p w14:paraId="5E55A0F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w:t>
            </w:r>
          </w:p>
        </w:tc>
        <w:tc>
          <w:tcPr>
            <w:tcW w:w="3500" w:type="dxa"/>
            <w:tcMar>
              <w:top w:w="80" w:type="dxa"/>
              <w:left w:w="120" w:type="dxa"/>
              <w:bottom w:w="80" w:type="dxa"/>
              <w:right w:w="120" w:type="dxa"/>
            </w:tcMar>
            <w:vAlign w:val="center"/>
          </w:tcPr>
          <w:p w14:paraId="160D61C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Leave-one-out: removes quality features. Equivalent to L2 when the same </w:t>
            </w:r>
            <w:r w:rsidRPr="00EF09ED">
              <w:rPr>
                <w:rFonts w:ascii="Arial" w:hAnsi="Arial" w:cs="Arial"/>
                <w:color w:val="auto"/>
                <w:sz w:val="24"/>
                <w:szCs w:val="24"/>
              </w:rPr>
              <w:t>fusion is used.</w:t>
            </w:r>
          </w:p>
        </w:tc>
      </w:tr>
      <w:tr w:rsidR="00EF09ED" w:rsidRPr="00EF09ED" w14:paraId="04B9BC98" w14:textId="77777777" w:rsidTr="00423D95">
        <w:tc>
          <w:tcPr>
            <w:tcW w:w="900" w:type="dxa"/>
            <w:tcMar>
              <w:top w:w="80" w:type="dxa"/>
              <w:left w:w="120" w:type="dxa"/>
              <w:bottom w:w="80" w:type="dxa"/>
              <w:right w:w="120" w:type="dxa"/>
            </w:tcMar>
            <w:vAlign w:val="center"/>
          </w:tcPr>
          <w:p w14:paraId="34E9765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Static fusion</w:t>
            </w:r>
          </w:p>
        </w:tc>
        <w:tc>
          <w:tcPr>
            <w:tcW w:w="764" w:type="dxa"/>
            <w:tcMar>
              <w:top w:w="80" w:type="dxa"/>
              <w:left w:w="120" w:type="dxa"/>
              <w:bottom w:w="80" w:type="dxa"/>
              <w:right w:w="120" w:type="dxa"/>
            </w:tcMar>
            <w:vAlign w:val="center"/>
          </w:tcPr>
          <w:p w14:paraId="7B6D1E8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2439DD3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856" w:type="dxa"/>
            <w:tcMar>
              <w:top w:w="80" w:type="dxa"/>
              <w:left w:w="120" w:type="dxa"/>
              <w:bottom w:w="80" w:type="dxa"/>
              <w:right w:w="120" w:type="dxa"/>
            </w:tcMar>
            <w:vAlign w:val="center"/>
          </w:tcPr>
          <w:p w14:paraId="5AE95B1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2100" w:type="dxa"/>
            <w:tcMar>
              <w:top w:w="80" w:type="dxa"/>
              <w:left w:w="120" w:type="dxa"/>
              <w:bottom w:w="80" w:type="dxa"/>
              <w:right w:w="120" w:type="dxa"/>
            </w:tcMar>
            <w:vAlign w:val="center"/>
          </w:tcPr>
          <w:p w14:paraId="4557FA0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Concatenation or averaging</w:t>
            </w:r>
          </w:p>
        </w:tc>
        <w:tc>
          <w:tcPr>
            <w:tcW w:w="1236" w:type="dxa"/>
            <w:tcMar>
              <w:top w:w="80" w:type="dxa"/>
              <w:left w:w="120" w:type="dxa"/>
              <w:bottom w:w="80" w:type="dxa"/>
              <w:right w:w="120" w:type="dxa"/>
            </w:tcMar>
            <w:vAlign w:val="center"/>
          </w:tcPr>
          <w:p w14:paraId="5B1F2692"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Full</w:t>
            </w:r>
          </w:p>
        </w:tc>
        <w:tc>
          <w:tcPr>
            <w:tcW w:w="3500" w:type="dxa"/>
            <w:tcMar>
              <w:top w:w="80" w:type="dxa"/>
              <w:left w:w="120" w:type="dxa"/>
              <w:bottom w:w="80" w:type="dxa"/>
              <w:right w:w="120" w:type="dxa"/>
            </w:tcMar>
            <w:vAlign w:val="center"/>
          </w:tcPr>
          <w:p w14:paraId="551794F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Tests whether adaptive gating improves over naive fusion.</w:t>
            </w:r>
          </w:p>
        </w:tc>
      </w:tr>
      <w:tr w:rsidR="00EF09ED" w:rsidRPr="00EF09ED" w14:paraId="648B3AF3" w14:textId="77777777" w:rsidTr="00423D95">
        <w:tc>
          <w:tcPr>
            <w:tcW w:w="900" w:type="dxa"/>
            <w:tcMar>
              <w:top w:w="80" w:type="dxa"/>
              <w:left w:w="120" w:type="dxa"/>
              <w:bottom w:w="80" w:type="dxa"/>
              <w:right w:w="120" w:type="dxa"/>
            </w:tcMar>
            <w:vAlign w:val="center"/>
          </w:tcPr>
          <w:p w14:paraId="6484BAE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Explanation only</w:t>
            </w:r>
          </w:p>
        </w:tc>
        <w:tc>
          <w:tcPr>
            <w:tcW w:w="764" w:type="dxa"/>
            <w:tcMar>
              <w:top w:w="80" w:type="dxa"/>
              <w:left w:w="120" w:type="dxa"/>
              <w:bottom w:w="80" w:type="dxa"/>
              <w:right w:w="120" w:type="dxa"/>
            </w:tcMar>
            <w:vAlign w:val="center"/>
          </w:tcPr>
          <w:p w14:paraId="530420A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764" w:type="dxa"/>
            <w:tcMar>
              <w:top w:w="80" w:type="dxa"/>
              <w:left w:w="120" w:type="dxa"/>
              <w:bottom w:w="80" w:type="dxa"/>
              <w:right w:w="120" w:type="dxa"/>
            </w:tcMar>
            <w:vAlign w:val="center"/>
          </w:tcPr>
          <w:p w14:paraId="606507C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856" w:type="dxa"/>
            <w:tcMar>
              <w:top w:w="80" w:type="dxa"/>
              <w:left w:w="120" w:type="dxa"/>
              <w:bottom w:w="80" w:type="dxa"/>
              <w:right w:w="120" w:type="dxa"/>
            </w:tcMar>
            <w:vAlign w:val="center"/>
          </w:tcPr>
          <w:p w14:paraId="1EE8FD3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Optional</w:t>
            </w:r>
          </w:p>
        </w:tc>
        <w:tc>
          <w:tcPr>
            <w:tcW w:w="2100" w:type="dxa"/>
            <w:tcMar>
              <w:top w:w="80" w:type="dxa"/>
              <w:left w:w="120" w:type="dxa"/>
              <w:bottom w:w="80" w:type="dxa"/>
              <w:right w:w="120" w:type="dxa"/>
            </w:tcMar>
            <w:vAlign w:val="center"/>
          </w:tcPr>
          <w:p w14:paraId="6B480F15"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Single modality</w:t>
            </w:r>
          </w:p>
        </w:tc>
        <w:tc>
          <w:tcPr>
            <w:tcW w:w="1236" w:type="dxa"/>
            <w:tcMar>
              <w:top w:w="80" w:type="dxa"/>
              <w:left w:w="120" w:type="dxa"/>
              <w:bottom w:w="80" w:type="dxa"/>
              <w:right w:w="120" w:type="dxa"/>
            </w:tcMar>
            <w:vAlign w:val="center"/>
          </w:tcPr>
          <w:p w14:paraId="4677977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Standard</w:t>
            </w:r>
          </w:p>
        </w:tc>
        <w:tc>
          <w:tcPr>
            <w:tcW w:w="3500" w:type="dxa"/>
            <w:tcMar>
              <w:top w:w="80" w:type="dxa"/>
              <w:left w:w="120" w:type="dxa"/>
              <w:bottom w:w="80" w:type="dxa"/>
              <w:right w:w="120" w:type="dxa"/>
            </w:tcMar>
            <w:vAlign w:val="center"/>
          </w:tcPr>
          <w:p w14:paraId="74FB377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Tests whether explanations alone carry predictive signal.</w:t>
            </w:r>
          </w:p>
        </w:tc>
      </w:tr>
      <w:tr w:rsidR="00423D95" w:rsidRPr="00EF09ED" w14:paraId="1BC11D75" w14:textId="77777777" w:rsidTr="00423D95">
        <w:tc>
          <w:tcPr>
            <w:tcW w:w="900" w:type="dxa"/>
            <w:tcMar>
              <w:top w:w="80" w:type="dxa"/>
              <w:left w:w="120" w:type="dxa"/>
              <w:bottom w:w="80" w:type="dxa"/>
              <w:right w:w="120" w:type="dxa"/>
            </w:tcMar>
            <w:vAlign w:val="center"/>
          </w:tcPr>
          <w:p w14:paraId="4C61660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Classical cached features</w:t>
            </w:r>
          </w:p>
        </w:tc>
        <w:tc>
          <w:tcPr>
            <w:tcW w:w="764" w:type="dxa"/>
            <w:tcMar>
              <w:top w:w="80" w:type="dxa"/>
              <w:left w:w="120" w:type="dxa"/>
              <w:bottom w:w="80" w:type="dxa"/>
              <w:right w:w="120" w:type="dxa"/>
            </w:tcMar>
            <w:vAlign w:val="center"/>
          </w:tcPr>
          <w:p w14:paraId="4F92F327"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Yes</w:t>
            </w:r>
          </w:p>
        </w:tc>
        <w:tc>
          <w:tcPr>
            <w:tcW w:w="764" w:type="dxa"/>
            <w:tcMar>
              <w:top w:w="80" w:type="dxa"/>
              <w:left w:w="120" w:type="dxa"/>
              <w:bottom w:w="80" w:type="dxa"/>
              <w:right w:w="120" w:type="dxa"/>
            </w:tcMar>
            <w:vAlign w:val="center"/>
          </w:tcPr>
          <w:p w14:paraId="5387014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No</w:t>
            </w:r>
          </w:p>
        </w:tc>
        <w:tc>
          <w:tcPr>
            <w:tcW w:w="856" w:type="dxa"/>
            <w:tcMar>
              <w:top w:w="80" w:type="dxa"/>
              <w:left w:w="120" w:type="dxa"/>
              <w:bottom w:w="80" w:type="dxa"/>
              <w:right w:w="120" w:type="dxa"/>
            </w:tcMar>
            <w:vAlign w:val="center"/>
          </w:tcPr>
          <w:p w14:paraId="7D47C52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Optional</w:t>
            </w:r>
          </w:p>
        </w:tc>
        <w:tc>
          <w:tcPr>
            <w:tcW w:w="2100" w:type="dxa"/>
            <w:tcMar>
              <w:top w:w="80" w:type="dxa"/>
              <w:left w:w="120" w:type="dxa"/>
              <w:bottom w:w="80" w:type="dxa"/>
              <w:right w:w="120" w:type="dxa"/>
            </w:tcMar>
            <w:vAlign w:val="center"/>
          </w:tcPr>
          <w:p w14:paraId="4564096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Classical ML classifier</w:t>
            </w:r>
          </w:p>
        </w:tc>
        <w:tc>
          <w:tcPr>
            <w:tcW w:w="1236" w:type="dxa"/>
            <w:tcMar>
              <w:top w:w="80" w:type="dxa"/>
              <w:left w:w="120" w:type="dxa"/>
              <w:bottom w:w="80" w:type="dxa"/>
              <w:right w:w="120" w:type="dxa"/>
            </w:tcMar>
            <w:vAlign w:val="center"/>
          </w:tcPr>
          <w:p w14:paraId="29CA1F05"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Standard</w:t>
            </w:r>
          </w:p>
        </w:tc>
        <w:tc>
          <w:tcPr>
            <w:tcW w:w="3500" w:type="dxa"/>
            <w:tcMar>
              <w:top w:w="80" w:type="dxa"/>
              <w:left w:w="120" w:type="dxa"/>
              <w:bottom w:w="80" w:type="dxa"/>
              <w:right w:w="120" w:type="dxa"/>
            </w:tcMar>
            <w:vAlign w:val="center"/>
          </w:tcPr>
          <w:p w14:paraId="4A14D1C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Lightweight non-neural baseline over cached representations.</w:t>
            </w:r>
          </w:p>
        </w:tc>
      </w:tr>
    </w:tbl>
    <w:p w14:paraId="5A93DAA2" w14:textId="77777777" w:rsidR="008B557D" w:rsidRPr="00EF09ED" w:rsidRDefault="008B557D" w:rsidP="00C20D57">
      <w:pPr>
        <w:spacing w:after="80"/>
        <w:jc w:val="both"/>
        <w:rPr>
          <w:rFonts w:ascii="Arial" w:hAnsi="Arial" w:cs="Arial"/>
          <w:color w:val="auto"/>
          <w:sz w:val="24"/>
          <w:szCs w:val="24"/>
        </w:rPr>
      </w:pPr>
    </w:p>
    <w:p w14:paraId="5BDCED4C" w14:textId="4FE8B226" w:rsidR="008B557D" w:rsidRPr="00EF09ED" w:rsidRDefault="00423D95" w:rsidP="00C20D57">
      <w:pPr>
        <w:pStyle w:val="Heading1"/>
        <w:jc w:val="both"/>
        <w:rPr>
          <w:rFonts w:ascii="Arial" w:hAnsi="Arial" w:cs="Arial"/>
          <w:color w:val="auto"/>
          <w:sz w:val="24"/>
          <w:szCs w:val="24"/>
        </w:rPr>
      </w:pPr>
      <w:r>
        <w:rPr>
          <w:rFonts w:ascii="Arial" w:hAnsi="Arial" w:cs="Arial"/>
          <w:color w:val="auto"/>
          <w:sz w:val="24"/>
          <w:szCs w:val="24"/>
        </w:rPr>
        <w:t>6</w:t>
      </w:r>
      <w:r w:rsidR="00230C3C" w:rsidRPr="00EF09ED">
        <w:rPr>
          <w:rFonts w:ascii="Arial" w:hAnsi="Arial" w:cs="Arial"/>
          <w:color w:val="auto"/>
          <w:sz w:val="24"/>
          <w:szCs w:val="24"/>
        </w:rPr>
        <w:t>. Imbalance and Threshold Ablations</w:t>
      </w:r>
    </w:p>
    <w:p w14:paraId="458856D3"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The imbalance ablations are tied to RO 04. They will</w:t>
      </w:r>
      <w:r w:rsidRPr="00EF09ED">
        <w:rPr>
          <w:rFonts w:ascii="Arial" w:hAnsi="Arial" w:cs="Arial"/>
          <w:color w:val="auto"/>
          <w:sz w:val="24"/>
          <w:szCs w:val="24"/>
        </w:rPr>
        <w:t xml:space="preserve"> be run as controlled variants so the report can separate the effect of the loss function, class weighting, threshold selection, and ensembling.</w:t>
      </w:r>
    </w:p>
    <w:tbl>
      <w:tblPr>
        <w:tblStyle w:val="TableGrid"/>
        <w:tblW w:w="9360" w:type="dxa"/>
        <w:tblInd w:w="120" w:type="dxa"/>
        <w:tblLayout w:type="fixed"/>
        <w:tblLook w:val="04A0" w:firstRow="1" w:lastRow="0" w:firstColumn="1" w:lastColumn="0" w:noHBand="0" w:noVBand="1"/>
      </w:tblPr>
      <w:tblGrid>
        <w:gridCol w:w="2300"/>
        <w:gridCol w:w="3900"/>
        <w:gridCol w:w="3160"/>
      </w:tblGrid>
      <w:tr w:rsidR="00EF09ED" w:rsidRPr="00EF09ED" w14:paraId="306F5C81" w14:textId="77777777">
        <w:tc>
          <w:tcPr>
            <w:tcW w:w="2300" w:type="dxa"/>
            <w:shd w:val="clear" w:color="auto" w:fill="F2F4F7"/>
            <w:tcMar>
              <w:top w:w="80" w:type="dxa"/>
              <w:left w:w="120" w:type="dxa"/>
              <w:bottom w:w="80" w:type="dxa"/>
              <w:right w:w="120" w:type="dxa"/>
            </w:tcMar>
            <w:vAlign w:val="center"/>
          </w:tcPr>
          <w:p w14:paraId="1A77AACE"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Variant</w:t>
            </w:r>
          </w:p>
        </w:tc>
        <w:tc>
          <w:tcPr>
            <w:tcW w:w="3900" w:type="dxa"/>
            <w:shd w:val="clear" w:color="auto" w:fill="F2F4F7"/>
            <w:tcMar>
              <w:top w:w="80" w:type="dxa"/>
              <w:left w:w="120" w:type="dxa"/>
              <w:bottom w:w="80" w:type="dxa"/>
              <w:right w:w="120" w:type="dxa"/>
            </w:tcMar>
            <w:vAlign w:val="center"/>
          </w:tcPr>
          <w:p w14:paraId="7BE0659E"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Definition</w:t>
            </w:r>
          </w:p>
        </w:tc>
        <w:tc>
          <w:tcPr>
            <w:tcW w:w="3160" w:type="dxa"/>
            <w:shd w:val="clear" w:color="auto" w:fill="F2F4F7"/>
            <w:tcMar>
              <w:top w:w="80" w:type="dxa"/>
              <w:left w:w="120" w:type="dxa"/>
              <w:bottom w:w="80" w:type="dxa"/>
              <w:right w:w="120" w:type="dxa"/>
            </w:tcMar>
            <w:vAlign w:val="center"/>
          </w:tcPr>
          <w:p w14:paraId="6AA754DC"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Purpose</w:t>
            </w:r>
          </w:p>
        </w:tc>
      </w:tr>
      <w:tr w:rsidR="00EF09ED" w:rsidRPr="00EF09ED" w14:paraId="2D267F1C" w14:textId="77777777">
        <w:tc>
          <w:tcPr>
            <w:tcW w:w="2300" w:type="dxa"/>
            <w:tcMar>
              <w:top w:w="80" w:type="dxa"/>
              <w:left w:w="120" w:type="dxa"/>
              <w:bottom w:w="80" w:type="dxa"/>
              <w:right w:w="120" w:type="dxa"/>
            </w:tcMar>
            <w:vAlign w:val="center"/>
          </w:tcPr>
          <w:p w14:paraId="3B3C9FD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Base training</w:t>
            </w:r>
          </w:p>
        </w:tc>
        <w:tc>
          <w:tcPr>
            <w:tcW w:w="3900" w:type="dxa"/>
            <w:tcMar>
              <w:top w:w="80" w:type="dxa"/>
              <w:left w:w="120" w:type="dxa"/>
              <w:bottom w:w="80" w:type="dxa"/>
              <w:right w:w="120" w:type="dxa"/>
            </w:tcMar>
            <w:vAlign w:val="center"/>
          </w:tcPr>
          <w:p w14:paraId="1FCE142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Standard loss, fixed threshold, single seed.</w:t>
            </w:r>
          </w:p>
        </w:tc>
        <w:tc>
          <w:tcPr>
            <w:tcW w:w="3160" w:type="dxa"/>
            <w:tcMar>
              <w:top w:w="80" w:type="dxa"/>
              <w:left w:w="120" w:type="dxa"/>
              <w:bottom w:w="80" w:type="dxa"/>
              <w:right w:w="120" w:type="dxa"/>
            </w:tcMar>
            <w:vAlign w:val="center"/>
          </w:tcPr>
          <w:p w14:paraId="3FE772A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Reference for the </w:t>
            </w:r>
            <w:r w:rsidRPr="00EF09ED">
              <w:rPr>
                <w:rFonts w:ascii="Arial" w:hAnsi="Arial" w:cs="Arial"/>
                <w:color w:val="auto"/>
                <w:sz w:val="24"/>
                <w:szCs w:val="24"/>
              </w:rPr>
              <w:t>imbalance study.</w:t>
            </w:r>
          </w:p>
        </w:tc>
      </w:tr>
      <w:tr w:rsidR="00EF09ED" w:rsidRPr="00EF09ED" w14:paraId="52E005DD" w14:textId="77777777">
        <w:tc>
          <w:tcPr>
            <w:tcW w:w="2300" w:type="dxa"/>
            <w:tcMar>
              <w:top w:w="80" w:type="dxa"/>
              <w:left w:w="120" w:type="dxa"/>
              <w:bottom w:w="80" w:type="dxa"/>
              <w:right w:w="120" w:type="dxa"/>
            </w:tcMar>
            <w:vAlign w:val="center"/>
          </w:tcPr>
          <w:p w14:paraId="38E7141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Focal loss</w:t>
            </w:r>
          </w:p>
        </w:tc>
        <w:tc>
          <w:tcPr>
            <w:tcW w:w="3900" w:type="dxa"/>
            <w:tcMar>
              <w:top w:w="80" w:type="dxa"/>
              <w:left w:w="120" w:type="dxa"/>
              <w:bottom w:w="80" w:type="dxa"/>
              <w:right w:w="120" w:type="dxa"/>
            </w:tcMar>
            <w:vAlign w:val="center"/>
          </w:tcPr>
          <w:p w14:paraId="13FB663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Add focal loss only.</w:t>
            </w:r>
          </w:p>
        </w:tc>
        <w:tc>
          <w:tcPr>
            <w:tcW w:w="3160" w:type="dxa"/>
            <w:tcMar>
              <w:top w:w="80" w:type="dxa"/>
              <w:left w:w="120" w:type="dxa"/>
              <w:bottom w:w="80" w:type="dxa"/>
              <w:right w:w="120" w:type="dxa"/>
            </w:tcMar>
            <w:vAlign w:val="center"/>
          </w:tcPr>
          <w:p w14:paraId="2E8C2E7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Measures whether hard/minority examples receive useful emphasis.</w:t>
            </w:r>
          </w:p>
        </w:tc>
      </w:tr>
      <w:tr w:rsidR="00EF09ED" w:rsidRPr="00EF09ED" w14:paraId="15F05622" w14:textId="77777777">
        <w:tc>
          <w:tcPr>
            <w:tcW w:w="2300" w:type="dxa"/>
            <w:tcMar>
              <w:top w:w="80" w:type="dxa"/>
              <w:left w:w="120" w:type="dxa"/>
              <w:bottom w:w="80" w:type="dxa"/>
              <w:right w:w="120" w:type="dxa"/>
            </w:tcMar>
            <w:vAlign w:val="center"/>
          </w:tcPr>
          <w:p w14:paraId="774DDFAD"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Capped class weighting</w:t>
            </w:r>
          </w:p>
        </w:tc>
        <w:tc>
          <w:tcPr>
            <w:tcW w:w="3900" w:type="dxa"/>
            <w:tcMar>
              <w:top w:w="80" w:type="dxa"/>
              <w:left w:w="120" w:type="dxa"/>
              <w:bottom w:w="80" w:type="dxa"/>
              <w:right w:w="120" w:type="dxa"/>
            </w:tcMar>
            <w:vAlign w:val="center"/>
          </w:tcPr>
          <w:p w14:paraId="018ADB60"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Add capped class weighting only.</w:t>
            </w:r>
          </w:p>
        </w:tc>
        <w:tc>
          <w:tcPr>
            <w:tcW w:w="3160" w:type="dxa"/>
            <w:tcMar>
              <w:top w:w="80" w:type="dxa"/>
              <w:left w:w="120" w:type="dxa"/>
              <w:bottom w:w="80" w:type="dxa"/>
              <w:right w:w="120" w:type="dxa"/>
            </w:tcMar>
            <w:vAlign w:val="center"/>
          </w:tcPr>
          <w:p w14:paraId="470E982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Measures whether class prior correction improves Recall without excessive false </w:t>
            </w:r>
            <w:r w:rsidRPr="00EF09ED">
              <w:rPr>
                <w:rFonts w:ascii="Arial" w:hAnsi="Arial" w:cs="Arial"/>
                <w:color w:val="auto"/>
                <w:sz w:val="24"/>
                <w:szCs w:val="24"/>
              </w:rPr>
              <w:t>positives.</w:t>
            </w:r>
          </w:p>
        </w:tc>
      </w:tr>
      <w:tr w:rsidR="00EF09ED" w:rsidRPr="00EF09ED" w14:paraId="56D310D0" w14:textId="77777777">
        <w:tc>
          <w:tcPr>
            <w:tcW w:w="2300" w:type="dxa"/>
            <w:tcMar>
              <w:top w:w="80" w:type="dxa"/>
              <w:left w:w="120" w:type="dxa"/>
              <w:bottom w:w="80" w:type="dxa"/>
              <w:right w:w="120" w:type="dxa"/>
            </w:tcMar>
            <w:vAlign w:val="center"/>
          </w:tcPr>
          <w:p w14:paraId="4025113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Threshold tuning</w:t>
            </w:r>
          </w:p>
        </w:tc>
        <w:tc>
          <w:tcPr>
            <w:tcW w:w="3900" w:type="dxa"/>
            <w:tcMar>
              <w:top w:w="80" w:type="dxa"/>
              <w:left w:w="120" w:type="dxa"/>
              <w:bottom w:w="80" w:type="dxa"/>
              <w:right w:w="120" w:type="dxa"/>
            </w:tcMar>
            <w:vAlign w:val="center"/>
          </w:tcPr>
          <w:p w14:paraId="69136EE2"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Use </w:t>
            </w:r>
            <w:proofErr w:type="gramStart"/>
            <w:r w:rsidRPr="00EF09ED">
              <w:rPr>
                <w:rFonts w:ascii="Arial" w:hAnsi="Arial" w:cs="Arial"/>
                <w:color w:val="auto"/>
                <w:sz w:val="24"/>
                <w:szCs w:val="24"/>
              </w:rPr>
              <w:t>validation based</w:t>
            </w:r>
            <w:proofErr w:type="gramEnd"/>
            <w:r w:rsidRPr="00EF09ED">
              <w:rPr>
                <w:rFonts w:ascii="Arial" w:hAnsi="Arial" w:cs="Arial"/>
                <w:color w:val="auto"/>
                <w:sz w:val="24"/>
                <w:szCs w:val="24"/>
              </w:rPr>
              <w:t xml:space="preserve"> threshold selection only.</w:t>
            </w:r>
          </w:p>
        </w:tc>
        <w:tc>
          <w:tcPr>
            <w:tcW w:w="3160" w:type="dxa"/>
            <w:tcMar>
              <w:top w:w="80" w:type="dxa"/>
              <w:left w:w="120" w:type="dxa"/>
              <w:bottom w:w="80" w:type="dxa"/>
              <w:right w:w="120" w:type="dxa"/>
            </w:tcMar>
            <w:vAlign w:val="center"/>
          </w:tcPr>
          <w:p w14:paraId="2991BB8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Measures whether decision calibration improves F1 and PR trade off.</w:t>
            </w:r>
          </w:p>
        </w:tc>
      </w:tr>
      <w:tr w:rsidR="00EF09ED" w:rsidRPr="00EF09ED" w14:paraId="70152720" w14:textId="77777777">
        <w:tc>
          <w:tcPr>
            <w:tcW w:w="2300" w:type="dxa"/>
            <w:tcMar>
              <w:top w:w="80" w:type="dxa"/>
              <w:left w:w="120" w:type="dxa"/>
              <w:bottom w:w="80" w:type="dxa"/>
              <w:right w:w="120" w:type="dxa"/>
            </w:tcMar>
            <w:vAlign w:val="center"/>
          </w:tcPr>
          <w:p w14:paraId="7A38EA4E"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Multi seed ensemble</w:t>
            </w:r>
          </w:p>
        </w:tc>
        <w:tc>
          <w:tcPr>
            <w:tcW w:w="3900" w:type="dxa"/>
            <w:tcMar>
              <w:top w:w="80" w:type="dxa"/>
              <w:left w:w="120" w:type="dxa"/>
              <w:bottom w:w="80" w:type="dxa"/>
              <w:right w:w="120" w:type="dxa"/>
            </w:tcMar>
            <w:vAlign w:val="center"/>
          </w:tcPr>
          <w:p w14:paraId="74819E0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Use multi seed ensembling only.</w:t>
            </w:r>
          </w:p>
        </w:tc>
        <w:tc>
          <w:tcPr>
            <w:tcW w:w="3160" w:type="dxa"/>
            <w:tcMar>
              <w:top w:w="80" w:type="dxa"/>
              <w:left w:w="120" w:type="dxa"/>
              <w:bottom w:w="80" w:type="dxa"/>
              <w:right w:w="120" w:type="dxa"/>
            </w:tcMar>
            <w:vAlign w:val="center"/>
          </w:tcPr>
          <w:p w14:paraId="2B978D51"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Measures stability and variance reduction.</w:t>
            </w:r>
          </w:p>
        </w:tc>
      </w:tr>
      <w:tr w:rsidR="008B557D" w:rsidRPr="00EF09ED" w14:paraId="3A13E78C" w14:textId="77777777">
        <w:tc>
          <w:tcPr>
            <w:tcW w:w="2300" w:type="dxa"/>
            <w:tcMar>
              <w:top w:w="80" w:type="dxa"/>
              <w:left w:w="120" w:type="dxa"/>
              <w:bottom w:w="80" w:type="dxa"/>
              <w:right w:w="120" w:type="dxa"/>
            </w:tcMar>
            <w:vAlign w:val="center"/>
          </w:tcPr>
          <w:p w14:paraId="768AFA7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Full </w:t>
            </w:r>
            <w:r w:rsidRPr="00EF09ED">
              <w:rPr>
                <w:rFonts w:ascii="Arial" w:hAnsi="Arial" w:cs="Arial"/>
                <w:color w:val="auto"/>
                <w:sz w:val="24"/>
                <w:szCs w:val="24"/>
              </w:rPr>
              <w:t>imbalance strategy</w:t>
            </w:r>
          </w:p>
        </w:tc>
        <w:tc>
          <w:tcPr>
            <w:tcW w:w="3900" w:type="dxa"/>
            <w:tcMar>
              <w:top w:w="80" w:type="dxa"/>
              <w:left w:w="120" w:type="dxa"/>
              <w:bottom w:w="80" w:type="dxa"/>
              <w:right w:w="120" w:type="dxa"/>
            </w:tcMar>
            <w:vAlign w:val="center"/>
          </w:tcPr>
          <w:p w14:paraId="4CB8CE5A"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Combine focal loss, capped class weighting, threshold tuning, and multi seed reporting or ensembling.</w:t>
            </w:r>
          </w:p>
        </w:tc>
        <w:tc>
          <w:tcPr>
            <w:tcW w:w="3160" w:type="dxa"/>
            <w:tcMar>
              <w:top w:w="80" w:type="dxa"/>
              <w:left w:w="120" w:type="dxa"/>
              <w:bottom w:w="80" w:type="dxa"/>
              <w:right w:w="120" w:type="dxa"/>
            </w:tcMar>
            <w:vAlign w:val="center"/>
          </w:tcPr>
          <w:p w14:paraId="68D1220B"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Measures the combined effect of the selected imbalance strategy.</w:t>
            </w:r>
          </w:p>
        </w:tc>
      </w:tr>
    </w:tbl>
    <w:p w14:paraId="28A6C0C0" w14:textId="77777777" w:rsidR="008B557D" w:rsidRPr="00EF09ED" w:rsidRDefault="008B557D" w:rsidP="00C20D57">
      <w:pPr>
        <w:spacing w:after="80"/>
        <w:jc w:val="both"/>
        <w:rPr>
          <w:rFonts w:ascii="Arial" w:hAnsi="Arial" w:cs="Arial"/>
          <w:color w:val="auto"/>
          <w:sz w:val="24"/>
          <w:szCs w:val="24"/>
        </w:rPr>
      </w:pPr>
    </w:p>
    <w:p w14:paraId="203D45E4" w14:textId="075A1B5C" w:rsidR="008B557D" w:rsidRPr="00EF09ED" w:rsidRDefault="00423D95" w:rsidP="00C20D57">
      <w:pPr>
        <w:pStyle w:val="Heading1"/>
        <w:jc w:val="both"/>
        <w:rPr>
          <w:rFonts w:ascii="Arial" w:hAnsi="Arial" w:cs="Arial"/>
          <w:color w:val="auto"/>
          <w:sz w:val="24"/>
          <w:szCs w:val="24"/>
        </w:rPr>
      </w:pPr>
      <w:r>
        <w:rPr>
          <w:rFonts w:ascii="Arial" w:hAnsi="Arial" w:cs="Arial"/>
          <w:color w:val="auto"/>
          <w:sz w:val="24"/>
          <w:szCs w:val="24"/>
        </w:rPr>
        <w:t>7</w:t>
      </w:r>
      <w:r w:rsidR="00230C3C" w:rsidRPr="00EF09ED">
        <w:rPr>
          <w:rFonts w:ascii="Arial" w:hAnsi="Arial" w:cs="Arial"/>
          <w:color w:val="auto"/>
          <w:sz w:val="24"/>
          <w:szCs w:val="24"/>
        </w:rPr>
        <w:t>. Experimental Protocol</w:t>
      </w:r>
    </w:p>
    <w:p w14:paraId="69AF01E2"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 xml:space="preserve">Use the audited Devign and Reveal </w:t>
      </w:r>
      <w:r w:rsidRPr="00EF09ED">
        <w:rPr>
          <w:rFonts w:ascii="Arial" w:hAnsi="Arial" w:cs="Arial"/>
          <w:color w:val="auto"/>
          <w:sz w:val="24"/>
          <w:szCs w:val="24"/>
        </w:rPr>
        <w:t>splits for every comparable configuration.</w:t>
      </w:r>
    </w:p>
    <w:p w14:paraId="79E834EF"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Keep preprocessing, normalization, cached embedding generation, and data filtering fixed across ablations.</w:t>
      </w:r>
    </w:p>
    <w:p w14:paraId="5C439C00"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Train each main configuration with five random seeds and report mean and standard deviation.</w:t>
      </w:r>
    </w:p>
    <w:p w14:paraId="28C48A7C"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Select thresh</w:t>
      </w:r>
      <w:r w:rsidRPr="00EF09ED">
        <w:rPr>
          <w:rFonts w:ascii="Arial" w:hAnsi="Arial" w:cs="Arial"/>
          <w:color w:val="auto"/>
          <w:sz w:val="24"/>
          <w:szCs w:val="24"/>
        </w:rPr>
        <w:t>olds only on the validation split when threshold tuning is enabled.</w:t>
      </w:r>
    </w:p>
    <w:p w14:paraId="170192C3"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Report test metrics once per seed using the pre-declared threshold rule.</w:t>
      </w:r>
    </w:p>
    <w:p w14:paraId="326802E8"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lastRenderedPageBreak/>
        <w:t>Record training time, inference time, and number of trainable parameters for training-efficiency analysis.</w:t>
      </w:r>
    </w:p>
    <w:p w14:paraId="5B443D5F" w14:textId="77777777" w:rsidR="008B557D" w:rsidRPr="00EF09ED" w:rsidRDefault="00230C3C" w:rsidP="00C20D57">
      <w:pPr>
        <w:pStyle w:val="ListBullet"/>
        <w:spacing w:after="80" w:line="280" w:lineRule="auto"/>
        <w:jc w:val="both"/>
        <w:rPr>
          <w:rFonts w:ascii="Arial" w:hAnsi="Arial" w:cs="Arial"/>
          <w:color w:val="auto"/>
          <w:sz w:val="24"/>
          <w:szCs w:val="24"/>
        </w:rPr>
      </w:pPr>
      <w:r w:rsidRPr="00EF09ED">
        <w:rPr>
          <w:rFonts w:ascii="Arial" w:hAnsi="Arial" w:cs="Arial"/>
          <w:color w:val="auto"/>
          <w:sz w:val="24"/>
          <w:szCs w:val="24"/>
        </w:rPr>
        <w:t>Report all configurations, including negative or inconclusive results.</w:t>
      </w:r>
    </w:p>
    <w:p w14:paraId="63F33D1A" w14:textId="543D78B5" w:rsidR="008B557D" w:rsidRPr="00EF09ED" w:rsidRDefault="00423D95" w:rsidP="00C20D57">
      <w:pPr>
        <w:pStyle w:val="Heading1"/>
        <w:jc w:val="both"/>
        <w:rPr>
          <w:rFonts w:ascii="Arial" w:hAnsi="Arial" w:cs="Arial"/>
          <w:color w:val="auto"/>
          <w:sz w:val="24"/>
          <w:szCs w:val="24"/>
        </w:rPr>
      </w:pPr>
      <w:r>
        <w:rPr>
          <w:rFonts w:ascii="Arial" w:hAnsi="Arial" w:cs="Arial"/>
          <w:color w:val="auto"/>
          <w:sz w:val="24"/>
          <w:szCs w:val="24"/>
        </w:rPr>
        <w:t>8</w:t>
      </w:r>
      <w:r w:rsidR="00230C3C" w:rsidRPr="00EF09ED">
        <w:rPr>
          <w:rFonts w:ascii="Arial" w:hAnsi="Arial" w:cs="Arial"/>
          <w:color w:val="auto"/>
          <w:sz w:val="24"/>
          <w:szCs w:val="24"/>
        </w:rPr>
        <w:t>. Metrics and Reporting</w:t>
      </w:r>
    </w:p>
    <w:p w14:paraId="057BF540"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The main predictive metrics will be Accuracy, Precision, Recall, F1, and PR AUC. Because vulnerability datasets are typically imbalanced, minority class Recall,</w:t>
      </w:r>
      <w:r w:rsidRPr="00EF09ED">
        <w:rPr>
          <w:rFonts w:ascii="Arial" w:hAnsi="Arial" w:cs="Arial"/>
          <w:color w:val="auto"/>
          <w:sz w:val="24"/>
          <w:szCs w:val="24"/>
        </w:rPr>
        <w:t xml:space="preserve"> F1, and PR AUC will be treated as central evidence rather than secondary statistics. Accuracy will be reported, but it will not be used alone to justify a model choice.</w:t>
      </w:r>
    </w:p>
    <w:p w14:paraId="7F7C53D0"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For explanation quality, the report will include explanation leakage rate, evidence gr</w:t>
      </w:r>
      <w:r w:rsidRPr="00EF09ED">
        <w:rPr>
          <w:rFonts w:ascii="Arial" w:hAnsi="Arial" w:cs="Arial"/>
          <w:color w:val="auto"/>
          <w:sz w:val="24"/>
          <w:szCs w:val="24"/>
        </w:rPr>
        <w:t>ounding measures, and label free explanation quality scores. For robustness, the report will include threshold sensitivity analysis and seed-to-seed variation. For efficiency, the report will include training time and trainable parameter count, with specia</w:t>
      </w:r>
      <w:r w:rsidRPr="00EF09ED">
        <w:rPr>
          <w:rFonts w:ascii="Arial" w:hAnsi="Arial" w:cs="Arial"/>
          <w:color w:val="auto"/>
          <w:sz w:val="24"/>
          <w:szCs w:val="24"/>
        </w:rPr>
        <w:t>l attention to the benefit of frozen cached encoders.</w:t>
      </w:r>
    </w:p>
    <w:tbl>
      <w:tblPr>
        <w:tblStyle w:val="TableGrid"/>
        <w:tblW w:w="9360" w:type="dxa"/>
        <w:tblInd w:w="120" w:type="dxa"/>
        <w:tblLayout w:type="fixed"/>
        <w:tblLook w:val="04A0" w:firstRow="1" w:lastRow="0" w:firstColumn="1" w:lastColumn="0" w:noHBand="0" w:noVBand="1"/>
      </w:tblPr>
      <w:tblGrid>
        <w:gridCol w:w="2500"/>
        <w:gridCol w:w="3600"/>
        <w:gridCol w:w="3260"/>
      </w:tblGrid>
      <w:tr w:rsidR="00EF09ED" w:rsidRPr="00EF09ED" w14:paraId="23EDA72F" w14:textId="77777777">
        <w:tc>
          <w:tcPr>
            <w:tcW w:w="2500" w:type="dxa"/>
            <w:shd w:val="clear" w:color="auto" w:fill="F2F4F7"/>
            <w:tcMar>
              <w:top w:w="80" w:type="dxa"/>
              <w:left w:w="120" w:type="dxa"/>
              <w:bottom w:w="80" w:type="dxa"/>
              <w:right w:w="120" w:type="dxa"/>
            </w:tcMar>
            <w:vAlign w:val="center"/>
          </w:tcPr>
          <w:p w14:paraId="5FA86246"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 xml:space="preserve">Evidence </w:t>
            </w:r>
            <w:proofErr w:type="gramStart"/>
            <w:r w:rsidRPr="00EF09ED">
              <w:rPr>
                <w:rFonts w:ascii="Arial" w:hAnsi="Arial" w:cs="Arial"/>
                <w:b/>
                <w:color w:val="auto"/>
                <w:sz w:val="24"/>
                <w:szCs w:val="24"/>
              </w:rPr>
              <w:t>type</w:t>
            </w:r>
            <w:proofErr w:type="gramEnd"/>
          </w:p>
        </w:tc>
        <w:tc>
          <w:tcPr>
            <w:tcW w:w="3600" w:type="dxa"/>
            <w:shd w:val="clear" w:color="auto" w:fill="F2F4F7"/>
            <w:tcMar>
              <w:top w:w="80" w:type="dxa"/>
              <w:left w:w="120" w:type="dxa"/>
              <w:bottom w:w="80" w:type="dxa"/>
              <w:right w:w="120" w:type="dxa"/>
            </w:tcMar>
            <w:vAlign w:val="center"/>
          </w:tcPr>
          <w:p w14:paraId="59CF0041"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Metric or artifact</w:t>
            </w:r>
          </w:p>
        </w:tc>
        <w:tc>
          <w:tcPr>
            <w:tcW w:w="3260" w:type="dxa"/>
            <w:shd w:val="clear" w:color="auto" w:fill="F2F4F7"/>
            <w:tcMar>
              <w:top w:w="80" w:type="dxa"/>
              <w:left w:w="120" w:type="dxa"/>
              <w:bottom w:w="80" w:type="dxa"/>
              <w:right w:w="120" w:type="dxa"/>
            </w:tcMar>
            <w:vAlign w:val="center"/>
          </w:tcPr>
          <w:p w14:paraId="75499BDF" w14:textId="77777777" w:rsidR="008B557D" w:rsidRPr="00EF09ED" w:rsidRDefault="00230C3C" w:rsidP="00C20D57">
            <w:pPr>
              <w:spacing w:after="0"/>
              <w:jc w:val="both"/>
              <w:rPr>
                <w:rFonts w:ascii="Arial" w:hAnsi="Arial" w:cs="Arial"/>
                <w:color w:val="auto"/>
                <w:sz w:val="24"/>
                <w:szCs w:val="24"/>
              </w:rPr>
            </w:pPr>
            <w:r w:rsidRPr="00EF09ED">
              <w:rPr>
                <w:rFonts w:ascii="Arial" w:hAnsi="Arial" w:cs="Arial"/>
                <w:b/>
                <w:color w:val="auto"/>
                <w:sz w:val="24"/>
                <w:szCs w:val="24"/>
              </w:rPr>
              <w:t>Used for</w:t>
            </w:r>
          </w:p>
        </w:tc>
      </w:tr>
      <w:tr w:rsidR="00EF09ED" w:rsidRPr="00EF09ED" w14:paraId="156C1715" w14:textId="77777777">
        <w:tc>
          <w:tcPr>
            <w:tcW w:w="2500" w:type="dxa"/>
            <w:tcMar>
              <w:top w:w="80" w:type="dxa"/>
              <w:left w:w="120" w:type="dxa"/>
              <w:bottom w:w="80" w:type="dxa"/>
              <w:right w:w="120" w:type="dxa"/>
            </w:tcMar>
            <w:vAlign w:val="center"/>
          </w:tcPr>
          <w:p w14:paraId="6F338293"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Predictive performance</w:t>
            </w:r>
          </w:p>
        </w:tc>
        <w:tc>
          <w:tcPr>
            <w:tcW w:w="3600" w:type="dxa"/>
            <w:tcMar>
              <w:top w:w="80" w:type="dxa"/>
              <w:left w:w="120" w:type="dxa"/>
              <w:bottom w:w="80" w:type="dxa"/>
              <w:right w:w="120" w:type="dxa"/>
            </w:tcMar>
            <w:vAlign w:val="center"/>
          </w:tcPr>
          <w:p w14:paraId="26252CB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Accuracy, Precision, Recall, F1, PR AUC</w:t>
            </w:r>
          </w:p>
        </w:tc>
        <w:tc>
          <w:tcPr>
            <w:tcW w:w="3260" w:type="dxa"/>
            <w:tcMar>
              <w:top w:w="80" w:type="dxa"/>
              <w:left w:w="120" w:type="dxa"/>
              <w:bottom w:w="80" w:type="dxa"/>
              <w:right w:w="120" w:type="dxa"/>
            </w:tcMar>
            <w:vAlign w:val="center"/>
          </w:tcPr>
          <w:p w14:paraId="7B30AD0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All ROs, especially RO 02 and RO 03</w:t>
            </w:r>
          </w:p>
        </w:tc>
      </w:tr>
      <w:tr w:rsidR="00EF09ED" w:rsidRPr="00EF09ED" w14:paraId="274C5570" w14:textId="77777777">
        <w:tc>
          <w:tcPr>
            <w:tcW w:w="2500" w:type="dxa"/>
            <w:tcMar>
              <w:top w:w="80" w:type="dxa"/>
              <w:left w:w="120" w:type="dxa"/>
              <w:bottom w:w="80" w:type="dxa"/>
              <w:right w:w="120" w:type="dxa"/>
            </w:tcMar>
            <w:vAlign w:val="center"/>
          </w:tcPr>
          <w:p w14:paraId="6EBE333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Minority class behavior</w:t>
            </w:r>
          </w:p>
        </w:tc>
        <w:tc>
          <w:tcPr>
            <w:tcW w:w="3600" w:type="dxa"/>
            <w:tcMar>
              <w:top w:w="80" w:type="dxa"/>
              <w:left w:w="120" w:type="dxa"/>
              <w:bottom w:w="80" w:type="dxa"/>
              <w:right w:w="120" w:type="dxa"/>
            </w:tcMar>
            <w:vAlign w:val="center"/>
          </w:tcPr>
          <w:p w14:paraId="11BF4309"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 xml:space="preserve">Minority class Recall, PR </w:t>
            </w:r>
            <w:r w:rsidRPr="00EF09ED">
              <w:rPr>
                <w:rFonts w:ascii="Arial" w:hAnsi="Arial" w:cs="Arial"/>
                <w:color w:val="auto"/>
                <w:sz w:val="24"/>
                <w:szCs w:val="24"/>
              </w:rPr>
              <w:t>curves, F1</w:t>
            </w:r>
          </w:p>
        </w:tc>
        <w:tc>
          <w:tcPr>
            <w:tcW w:w="3260" w:type="dxa"/>
            <w:tcMar>
              <w:top w:w="80" w:type="dxa"/>
              <w:left w:w="120" w:type="dxa"/>
              <w:bottom w:w="80" w:type="dxa"/>
              <w:right w:w="120" w:type="dxa"/>
            </w:tcMar>
            <w:vAlign w:val="center"/>
          </w:tcPr>
          <w:p w14:paraId="717B6E88"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RO 04</w:t>
            </w:r>
          </w:p>
        </w:tc>
      </w:tr>
      <w:tr w:rsidR="00EF09ED" w:rsidRPr="00EF09ED" w14:paraId="14C7D3D7" w14:textId="77777777">
        <w:tc>
          <w:tcPr>
            <w:tcW w:w="2500" w:type="dxa"/>
            <w:tcMar>
              <w:top w:w="80" w:type="dxa"/>
              <w:left w:w="120" w:type="dxa"/>
              <w:bottom w:w="80" w:type="dxa"/>
              <w:right w:w="120" w:type="dxa"/>
            </w:tcMar>
            <w:vAlign w:val="center"/>
          </w:tcPr>
          <w:p w14:paraId="3676713F"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Explanation faithfulness</w:t>
            </w:r>
          </w:p>
        </w:tc>
        <w:tc>
          <w:tcPr>
            <w:tcW w:w="3600" w:type="dxa"/>
            <w:tcMar>
              <w:top w:w="80" w:type="dxa"/>
              <w:left w:w="120" w:type="dxa"/>
              <w:bottom w:w="80" w:type="dxa"/>
              <w:right w:w="120" w:type="dxa"/>
            </w:tcMar>
            <w:vAlign w:val="center"/>
          </w:tcPr>
          <w:p w14:paraId="78E34344"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Evidence grounding measures and quality analysis</w:t>
            </w:r>
          </w:p>
        </w:tc>
        <w:tc>
          <w:tcPr>
            <w:tcW w:w="3260" w:type="dxa"/>
            <w:tcMar>
              <w:top w:w="80" w:type="dxa"/>
              <w:left w:w="120" w:type="dxa"/>
              <w:bottom w:w="80" w:type="dxa"/>
              <w:right w:w="120" w:type="dxa"/>
            </w:tcMar>
            <w:vAlign w:val="center"/>
          </w:tcPr>
          <w:p w14:paraId="41988F8C" w14:textId="77777777" w:rsidR="008B557D" w:rsidRPr="00EF09ED" w:rsidRDefault="00230C3C" w:rsidP="00C20D57">
            <w:pPr>
              <w:spacing w:after="0" w:line="252" w:lineRule="auto"/>
              <w:jc w:val="both"/>
              <w:rPr>
                <w:rFonts w:ascii="Arial" w:hAnsi="Arial" w:cs="Arial"/>
                <w:color w:val="auto"/>
                <w:sz w:val="24"/>
                <w:szCs w:val="24"/>
              </w:rPr>
            </w:pPr>
            <w:r w:rsidRPr="00EF09ED">
              <w:rPr>
                <w:rFonts w:ascii="Arial" w:hAnsi="Arial" w:cs="Arial"/>
                <w:color w:val="auto"/>
                <w:sz w:val="24"/>
                <w:szCs w:val="24"/>
              </w:rPr>
              <w:t>RO 01</w:t>
            </w:r>
          </w:p>
        </w:tc>
      </w:tr>
    </w:tbl>
    <w:p w14:paraId="7704E4DD" w14:textId="77777777" w:rsidR="008B557D" w:rsidRPr="00EF09ED" w:rsidRDefault="008B557D" w:rsidP="00C20D57">
      <w:pPr>
        <w:spacing w:after="80"/>
        <w:jc w:val="both"/>
        <w:rPr>
          <w:rFonts w:ascii="Arial" w:hAnsi="Arial" w:cs="Arial"/>
          <w:color w:val="auto"/>
          <w:sz w:val="24"/>
          <w:szCs w:val="24"/>
        </w:rPr>
      </w:pPr>
    </w:p>
    <w:p w14:paraId="11CCDB44" w14:textId="6A2FDD73" w:rsidR="008B557D" w:rsidRPr="00EF09ED" w:rsidRDefault="00535178" w:rsidP="00C20D57">
      <w:pPr>
        <w:pStyle w:val="Heading1"/>
        <w:jc w:val="both"/>
        <w:rPr>
          <w:rFonts w:ascii="Arial" w:hAnsi="Arial" w:cs="Arial"/>
          <w:color w:val="auto"/>
          <w:sz w:val="24"/>
          <w:szCs w:val="24"/>
        </w:rPr>
      </w:pPr>
      <w:r>
        <w:rPr>
          <w:rFonts w:ascii="Arial" w:hAnsi="Arial" w:cs="Arial"/>
          <w:color w:val="auto"/>
          <w:sz w:val="24"/>
          <w:szCs w:val="24"/>
        </w:rPr>
        <w:t>9</w:t>
      </w:r>
      <w:r w:rsidR="00230C3C" w:rsidRPr="00EF09ED">
        <w:rPr>
          <w:rFonts w:ascii="Arial" w:hAnsi="Arial" w:cs="Arial"/>
          <w:color w:val="auto"/>
          <w:sz w:val="24"/>
          <w:szCs w:val="24"/>
        </w:rPr>
        <w:t>. Interpretation Plan</w:t>
      </w:r>
    </w:p>
    <w:p w14:paraId="7B046DA2" w14:textId="77777777" w:rsidR="008B557D" w:rsidRPr="00EF09ED" w:rsidRDefault="00230C3C" w:rsidP="00C20D57">
      <w:pPr>
        <w:jc w:val="both"/>
        <w:rPr>
          <w:rFonts w:ascii="Arial" w:hAnsi="Arial" w:cs="Arial"/>
          <w:color w:val="auto"/>
          <w:sz w:val="24"/>
          <w:szCs w:val="24"/>
        </w:rPr>
      </w:pPr>
      <w:r w:rsidRPr="00EF09ED">
        <w:rPr>
          <w:rFonts w:ascii="Arial" w:hAnsi="Arial" w:cs="Arial"/>
          <w:color w:val="auto"/>
          <w:sz w:val="24"/>
          <w:szCs w:val="24"/>
        </w:rPr>
        <w:t>A component will be considered useful if its inclusion produces a consistent improvement in F1, PR AUC, or minority class Recall without causing an unacceptable i</w:t>
      </w:r>
      <w:r w:rsidRPr="00EF09ED">
        <w:rPr>
          <w:rFonts w:ascii="Arial" w:hAnsi="Arial" w:cs="Arial"/>
          <w:color w:val="auto"/>
          <w:sz w:val="24"/>
          <w:szCs w:val="24"/>
        </w:rPr>
        <w:t>ncrease in leakage, training cost, or threshold instability. The final interpretation will not rely on a single metric. For example, a configuration that improves Accuracy while reducing minority class Recall will be treated cautiously because it may be ex</w:t>
      </w:r>
      <w:r w:rsidRPr="00EF09ED">
        <w:rPr>
          <w:rFonts w:ascii="Arial" w:hAnsi="Arial" w:cs="Arial"/>
          <w:color w:val="auto"/>
          <w:sz w:val="24"/>
          <w:szCs w:val="24"/>
        </w:rPr>
        <w:t>ploiting the majority class distribution.</w:t>
      </w:r>
    </w:p>
    <w:p w14:paraId="7D0B7167" w14:textId="3B7F5DF1" w:rsidR="008B557D" w:rsidRPr="00EF09ED" w:rsidRDefault="00230C3C" w:rsidP="00AA7EB7">
      <w:pPr>
        <w:jc w:val="both"/>
        <w:rPr>
          <w:rFonts w:ascii="Arial" w:hAnsi="Arial" w:cs="Arial"/>
          <w:color w:val="auto"/>
          <w:sz w:val="24"/>
          <w:szCs w:val="24"/>
        </w:rPr>
      </w:pPr>
      <w:r w:rsidRPr="00EF09ED">
        <w:rPr>
          <w:rFonts w:ascii="Arial" w:hAnsi="Arial" w:cs="Arial"/>
          <w:color w:val="auto"/>
          <w:sz w:val="24"/>
          <w:szCs w:val="24"/>
        </w:rPr>
        <w:t xml:space="preserve">The report will present both absolute scores and deltas from the relevant reference configuration. For the ladder, the key deltas are L2 minus L1 and Full minus L2. For leave-one-out, the key values are Full minus </w:t>
      </w:r>
      <w:r w:rsidRPr="00EF09ED">
        <w:rPr>
          <w:rFonts w:ascii="Arial" w:hAnsi="Arial" w:cs="Arial"/>
          <w:color w:val="auto"/>
          <w:sz w:val="24"/>
          <w:szCs w:val="24"/>
        </w:rPr>
        <w:t>each ablated variant. These deltas directly show the significance of each individual block in the pipeline.</w:t>
      </w:r>
    </w:p>
    <w:sectPr w:rsidR="008B557D" w:rsidRPr="00EF09ED"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F3402" w14:textId="77777777" w:rsidR="00230C3C" w:rsidRDefault="00230C3C">
      <w:pPr>
        <w:spacing w:after="0" w:line="240" w:lineRule="auto"/>
      </w:pPr>
      <w:r>
        <w:separator/>
      </w:r>
    </w:p>
  </w:endnote>
  <w:endnote w:type="continuationSeparator" w:id="0">
    <w:p w14:paraId="0B42D526" w14:textId="77777777" w:rsidR="00230C3C" w:rsidRDefault="00230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10DA2" w14:textId="62C67D58" w:rsidR="008B557D" w:rsidRDefault="00230C3C" w:rsidP="00423D95">
    <w:pPr>
      <w:pStyle w:val="Footer"/>
      <w:jc w:val="right"/>
    </w:pPr>
    <w:r>
      <w:rPr>
        <w:color w:val="5A5A5A"/>
        <w:sz w:val="18"/>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622BA" w14:textId="77777777" w:rsidR="00230C3C" w:rsidRDefault="00230C3C">
      <w:pPr>
        <w:spacing w:after="0" w:line="240" w:lineRule="auto"/>
      </w:pPr>
      <w:r>
        <w:separator/>
      </w:r>
    </w:p>
  </w:footnote>
  <w:footnote w:type="continuationSeparator" w:id="0">
    <w:p w14:paraId="6539A9A3" w14:textId="77777777" w:rsidR="00230C3C" w:rsidRDefault="00230C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C3C"/>
    <w:rsid w:val="0029639D"/>
    <w:rsid w:val="00326F90"/>
    <w:rsid w:val="00423D95"/>
    <w:rsid w:val="00535178"/>
    <w:rsid w:val="008B557D"/>
    <w:rsid w:val="00AA1D8D"/>
    <w:rsid w:val="00AA7EB7"/>
    <w:rsid w:val="00B47730"/>
    <w:rsid w:val="00C20D57"/>
    <w:rsid w:val="00CB0664"/>
    <w:rsid w:val="00EF09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3F2EA"/>
  <w14:defaultImageDpi w14:val="300"/>
  <w15:docId w15:val="{028C759C-10C2-4529-B36B-F554776DF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0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7</Pages>
  <Words>1930</Words>
  <Characters>11001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Plan of Ablation Study for SemanticVul</vt:lpstr>
    </vt:vector>
  </TitlesOfParts>
  <Manager/>
  <Company/>
  <LinksUpToDate>false</LinksUpToDate>
  <CharactersWithSpaces>12906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of Ablation Study for SemanticVul</dc:title>
  <dc:subject>Supervisor review document</dc:subject>
  <dc:creator>SemanticVul student researcher</dc:creator>
  <cp:keywords>SemanticVul, ablation study, vulnerability detection, explanations, fusion</cp:keywords>
  <dc:description>generated by python-docx</dc:description>
  <cp:lastModifiedBy>Legion Five</cp:lastModifiedBy>
  <cp:revision>4</cp:revision>
  <dcterms:created xsi:type="dcterms:W3CDTF">2013-12-23T23:15:00Z</dcterms:created>
  <dcterms:modified xsi:type="dcterms:W3CDTF">2026-07-06T07:52:00Z</dcterms:modified>
  <cp:category/>
</cp:coreProperties>
</file>