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202020"/>
          <w:sz w:val="46"/>
        </w:rPr>
        <w:t>Plan of Ablation Study</w:t>
      </w:r>
    </w:p>
    <w:p>
      <w:pPr>
        <w:spacing w:after="320"/>
      </w:pPr>
      <w:r>
        <w:rPr>
          <w:rFonts w:ascii="Calibri" w:hAnsi="Calibri"/>
          <w:color w:val="5A5A5A"/>
          <w:sz w:val="26"/>
        </w:rPr>
        <w:t>SemanticVul: Local Explanations, Quality-Aware Fusion, and Imbalance-Aware Evaluation</w:t>
      </w:r>
    </w:p>
    <w:tbl>
      <w:tblPr>
        <w:tblW w:type="dxa" w:w="9360"/>
        <w:tblLayout w:type="fixed"/>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tcPr>
          <w:p>
            <w:pPr>
              <w:spacing w:after="0"/>
            </w:pPr>
            <w:r>
              <w:rPr>
                <w:rFonts w:ascii="Calibri" w:hAnsi="Calibri"/>
                <w:b/>
                <w:color w:val="202020"/>
                <w:sz w:val="21"/>
              </w:rPr>
              <w:t>Prepared for</w:t>
            </w:r>
          </w:p>
        </w:tc>
        <w:tc>
          <w:tcPr>
            <w:tcW w:type="dxa" w:w="7460"/>
            <w:tcMar>
              <w:top w:w="80" w:type="dxa"/>
              <w:start w:w="120" w:type="dxa"/>
              <w:bottom w:w="80" w:type="dxa"/>
              <w:end w:w="120" w:type="dxa"/>
            </w:tcMar>
            <w:vAlign w:val="center"/>
          </w:tcPr>
          <w:p>
            <w:pPr>
              <w:spacing w:after="0"/>
            </w:pPr>
            <w:r>
              <w:rPr>
                <w:rFonts w:ascii="Calibri" w:hAnsi="Calibri"/>
                <w:color w:val="202020"/>
                <w:sz w:val="21"/>
              </w:rPr>
              <w:t>Supervisor review</w:t>
            </w:r>
          </w:p>
        </w:tc>
      </w:tr>
      <w:tr>
        <w:tc>
          <w:tcPr>
            <w:tcW w:type="dxa" w:w="1900"/>
            <w:tcMar>
              <w:top w:w="80" w:type="dxa"/>
              <w:start w:w="120" w:type="dxa"/>
              <w:bottom w:w="80" w:type="dxa"/>
              <w:end w:w="120" w:type="dxa"/>
            </w:tcMar>
            <w:vAlign w:val="center"/>
          </w:tcPr>
          <w:p>
            <w:pPr>
              <w:spacing w:after="0"/>
            </w:pPr>
            <w:r>
              <w:rPr>
                <w:rFonts w:ascii="Calibri" w:hAnsi="Calibri"/>
                <w:b/>
                <w:color w:val="202020"/>
                <w:sz w:val="21"/>
              </w:rPr>
              <w:t>Purpose</w:t>
            </w:r>
          </w:p>
        </w:tc>
        <w:tc>
          <w:tcPr>
            <w:tcW w:type="dxa" w:w="7460"/>
            <w:tcMar>
              <w:top w:w="80" w:type="dxa"/>
              <w:start w:w="120" w:type="dxa"/>
              <w:bottom w:w="80" w:type="dxa"/>
              <w:end w:w="120" w:type="dxa"/>
            </w:tcMar>
            <w:vAlign w:val="center"/>
          </w:tcPr>
          <w:p>
            <w:pPr>
              <w:spacing w:after="0"/>
            </w:pPr>
            <w:r>
              <w:rPr>
                <w:rFonts w:ascii="Calibri" w:hAnsi="Calibri"/>
                <w:color w:val="202020"/>
                <w:sz w:val="21"/>
              </w:rPr>
              <w:t>Response to observation on missing ablation study plan</w:t>
            </w:r>
          </w:p>
        </w:tc>
      </w:tr>
      <w:tr>
        <w:tc>
          <w:tcPr>
            <w:tcW w:type="dxa" w:w="1900"/>
            <w:tcMar>
              <w:top w:w="80" w:type="dxa"/>
              <w:start w:w="120" w:type="dxa"/>
              <w:bottom w:w="80" w:type="dxa"/>
              <w:end w:w="120" w:type="dxa"/>
            </w:tcMar>
            <w:vAlign w:val="center"/>
          </w:tcPr>
          <w:p>
            <w:pPr>
              <w:spacing w:after="0"/>
            </w:pPr>
            <w:r>
              <w:rPr>
                <w:rFonts w:ascii="Calibri" w:hAnsi="Calibri"/>
                <w:b/>
                <w:color w:val="202020"/>
                <w:sz w:val="21"/>
              </w:rPr>
              <w:t>Study focus</w:t>
            </w:r>
          </w:p>
        </w:tc>
        <w:tc>
          <w:tcPr>
            <w:tcW w:type="dxa" w:w="7460"/>
            <w:tcMar>
              <w:top w:w="80" w:type="dxa"/>
              <w:start w:w="120" w:type="dxa"/>
              <w:bottom w:w="80" w:type="dxa"/>
              <w:end w:w="120" w:type="dxa"/>
            </w:tcMar>
            <w:vAlign w:val="center"/>
          </w:tcPr>
          <w:p>
            <w:pPr>
              <w:spacing w:after="0"/>
            </w:pPr>
            <w:r>
              <w:rPr>
                <w:rFonts w:ascii="Calibri" w:hAnsi="Calibri"/>
                <w:color w:val="202020"/>
                <w:sz w:val="21"/>
              </w:rPr>
              <w:t>Significance of individual ML pipeline blocks</w:t>
            </w:r>
          </w:p>
        </w:tc>
      </w:tr>
      <w:tr>
        <w:tc>
          <w:tcPr>
            <w:tcW w:type="dxa" w:w="1900"/>
            <w:tcMar>
              <w:top w:w="80" w:type="dxa"/>
              <w:start w:w="120" w:type="dxa"/>
              <w:bottom w:w="80" w:type="dxa"/>
              <w:end w:w="120" w:type="dxa"/>
            </w:tcMar>
            <w:vAlign w:val="center"/>
          </w:tcPr>
          <w:p>
            <w:pPr>
              <w:spacing w:after="0"/>
            </w:pPr>
            <w:r>
              <w:rPr>
                <w:rFonts w:ascii="Calibri" w:hAnsi="Calibri"/>
                <w:b/>
                <w:color w:val="202020"/>
                <w:sz w:val="21"/>
              </w:rPr>
              <w:t>Datasets</w:t>
            </w:r>
          </w:p>
        </w:tc>
        <w:tc>
          <w:tcPr>
            <w:tcW w:type="dxa" w:w="7460"/>
            <w:tcMar>
              <w:top w:w="80" w:type="dxa"/>
              <w:start w:w="120" w:type="dxa"/>
              <w:bottom w:w="80" w:type="dxa"/>
              <w:end w:w="120" w:type="dxa"/>
            </w:tcMar>
            <w:vAlign w:val="center"/>
          </w:tcPr>
          <w:p>
            <w:pPr>
              <w:spacing w:after="0"/>
            </w:pPr>
            <w:r>
              <w:rPr>
                <w:rFonts w:ascii="Calibri" w:hAnsi="Calibri"/>
                <w:color w:val="202020"/>
                <w:sz w:val="21"/>
              </w:rPr>
              <w:t>Audited Devign and Reveal splits</w:t>
            </w:r>
          </w:p>
        </w:tc>
      </w:tr>
      <w:tr>
        <w:tc>
          <w:tcPr>
            <w:tcW w:type="dxa" w:w="1900"/>
            <w:tcMar>
              <w:top w:w="80" w:type="dxa"/>
              <w:start w:w="120" w:type="dxa"/>
              <w:bottom w:w="80" w:type="dxa"/>
              <w:end w:w="120" w:type="dxa"/>
            </w:tcMar>
            <w:vAlign w:val="center"/>
          </w:tcPr>
          <w:p>
            <w:pPr>
              <w:spacing w:after="0"/>
            </w:pPr>
            <w:r>
              <w:rPr>
                <w:rFonts w:ascii="Calibri" w:hAnsi="Calibri"/>
                <w:b/>
                <w:color w:val="202020"/>
                <w:sz w:val="21"/>
              </w:rPr>
              <w:t>Date</w:t>
            </w:r>
          </w:p>
        </w:tc>
        <w:tc>
          <w:tcPr>
            <w:tcW w:type="dxa" w:w="7460"/>
            <w:tcMar>
              <w:top w:w="80" w:type="dxa"/>
              <w:start w:w="120" w:type="dxa"/>
              <w:bottom w:w="80" w:type="dxa"/>
              <w:end w:w="120" w:type="dxa"/>
            </w:tcMar>
            <w:vAlign w:val="center"/>
          </w:tcPr>
          <w:p>
            <w:pPr>
              <w:spacing w:after="0"/>
            </w:pPr>
            <w:r>
              <w:rPr>
                <w:rFonts w:ascii="Calibri" w:hAnsi="Calibri"/>
                <w:color w:val="202020"/>
                <w:sz w:val="21"/>
              </w:rPr>
              <w:t>July 6, 2026</w:t>
            </w:r>
          </w:p>
        </w:tc>
      </w:tr>
    </w:tbl>
    <w:p>
      <w:pPr>
        <w:spacing w:after="12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Supervisor observation addressed</w:t>
            </w:r>
          </w:p>
          <w:p>
            <w:pPr>
              <w:spacing w:after="0" w:line="264" w:lineRule="auto"/>
            </w:pPr>
            <w:r>
              <w:rPr>
                <w:rFonts w:ascii="Calibri" w:hAnsi="Calibri"/>
                <w:color w:val="202020"/>
                <w:sz w:val="21"/>
              </w:rPr>
              <w:t>Observation: "plan of ablation study is not there." Action to be taken: "The student will perform experiments to report the significance in terms of accuracy/performance measures of individual blocks in the ML Pipeline designed for the problem."</w:t>
            </w:r>
          </w:p>
        </w:tc>
      </w:tr>
    </w:tbl>
    <w:p>
      <w:pPr>
        <w:spacing w:after="40"/>
      </w:pPr>
    </w:p>
    <w:p>
      <w:pPr>
        <w:pStyle w:val="Heading1"/>
      </w:pPr>
      <w:r>
        <w:t>1. Objective and Scope</w:t>
      </w:r>
    </w:p>
    <w:p>
      <w:pPr>
        <w:spacing w:before="0" w:after="120" w:line="264" w:lineRule="auto"/>
      </w:pPr>
      <w:r>
        <w:rPr>
          <w:rFonts w:ascii="Calibri" w:hAnsi="Calibri"/>
          <w:b w:val="0"/>
          <w:color w:val="202020"/>
          <w:sz w:val="22"/>
        </w:rPr>
        <w:t>This ablation study is designed to make the contribution of each block in the SemanticVul pipeline empirically visible. The study will not only report the final performance of the complete model, but will also show what is gained or lost when each major component is removed, replaced, or simplified under the same experimental protocol.</w:t>
      </w:r>
    </w:p>
    <w:p>
      <w:pPr>
        <w:spacing w:before="0" w:after="120" w:line="264" w:lineRule="auto"/>
      </w:pPr>
      <w:r>
        <w:rPr>
          <w:rFonts w:ascii="Calibri" w:hAnsi="Calibri"/>
          <w:b w:val="0"/>
          <w:color w:val="202020"/>
          <w:sz w:val="22"/>
        </w:rPr>
        <w:t>The pipeline is treated as four connected blocks: the code representation channel, the local explanation channel, the label free quality feature channel, and the downstream training and decision strategy. The ablation design therefore combines a bottom-up component ladder with top-down leave-one-out experiments. This allows the report to answer two different but related questions: whether performance improves as components are added, and whether each component remains useful when the full model is already present.</w:t>
      </w:r>
    </w:p>
    <w:p>
      <w:pPr>
        <w:spacing w:before="0" w:after="120" w:line="264" w:lineRule="auto"/>
      </w:pPr>
      <w:r>
        <w:rPr>
          <w:rFonts w:ascii="Calibri" w:hAnsi="Calibri"/>
          <w:b w:val="0"/>
          <w:color w:val="202020"/>
          <w:sz w:val="22"/>
        </w:rPr>
        <w:t>All ablations will be conducted on the audited Devign and Reveal splits. The same data partitions, cached representations, evaluation metrics, random seeds, and threshold-selection rules will be used across comparable configurations. This is necessary so that observed performance differences can be attributed to the ablated pipeline block rather than to changes in protocol.</w:t>
      </w:r>
    </w:p>
    <w:p>
      <w:pPr>
        <w:pStyle w:val="Heading1"/>
      </w:pPr>
      <w:r>
        <w:t>2. Research Objectives and Questions</w:t>
      </w:r>
    </w:p>
    <w:p>
      <w:pPr>
        <w:spacing w:before="0" w:after="120" w:line="264" w:lineRule="auto"/>
      </w:pPr>
      <w:r>
        <w:rPr>
          <w:rFonts w:ascii="Calibri" w:hAnsi="Calibri"/>
          <w:b w:val="0"/>
          <w:color w:val="202020"/>
          <w:sz w:val="22"/>
        </w:rPr>
        <w:t>The research objectives and research questions are retained word-to-word from the study design. The ablation plan is organized around these objectives so that every experimental comparison has a direct role in the dissertation/report structure.</w:t>
      </w:r>
    </w:p>
    <w:p>
      <w:pPr>
        <w:pStyle w:val="Heading2"/>
      </w:pPr>
      <w:r>
        <w:t>RO 01: Explanations</w:t>
      </w:r>
    </w:p>
    <w:p>
      <w:pPr>
        <w:spacing w:after="80" w:line="264" w:lineRule="auto"/>
      </w:pPr>
      <w:r>
        <w:rPr>
          <w:rFonts w:ascii="Calibri" w:hAnsi="Calibri"/>
          <w:b/>
          <w:color w:val="1F4D78"/>
          <w:sz w:val="21"/>
        </w:rPr>
        <w:t xml:space="preserve">Objective: </w:t>
      </w:r>
      <w:r>
        <w:rPr>
          <w:rFonts w:ascii="Calibri" w:hAnsi="Calibri"/>
          <w:color w:val="202020"/>
          <w:sz w:val="21"/>
        </w:rPr>
        <w:t>Design and evaluate a local explanation pipeline using structured JSON output, evidence token grounding, and explicit leakage controls.</w:t>
      </w:r>
    </w:p>
    <w:p>
      <w:pPr>
        <w:spacing w:after="80" w:line="264" w:lineRule="auto"/>
      </w:pPr>
      <w:r>
        <w:rPr>
          <w:rFonts w:ascii="Calibri" w:hAnsi="Calibri"/>
          <w:b/>
          <w:color w:val="1F4D78"/>
          <w:sz w:val="21"/>
        </w:rPr>
        <w:t xml:space="preserve">Research question: </w:t>
      </w:r>
      <w:r>
        <w:rPr>
          <w:rFonts w:ascii="Calibri" w:hAnsi="Calibri"/>
          <w:color w:val="202020"/>
          <w:sz w:val="21"/>
        </w:rPr>
        <w:t>To what extent do locally generated, verdict scrubbed, evidence grounded explanations improve explanation faithfulness and downstream vulnerability detection as compared with FuSEVul style free form LLM explanations?</w:t>
      </w:r>
    </w:p>
    <w:p>
      <w:pPr>
        <w:spacing w:after="80" w:line="264" w:lineRule="auto"/>
      </w:pPr>
      <w:r>
        <w:rPr>
          <w:rFonts w:ascii="Calibri" w:hAnsi="Calibri"/>
          <w:b/>
          <w:color w:val="1F4D78"/>
          <w:sz w:val="21"/>
        </w:rPr>
        <w:t xml:space="preserve">Evidence to report: </w:t>
      </w:r>
      <w:r>
        <w:rPr>
          <w:rFonts w:ascii="Calibri" w:hAnsi="Calibri"/>
          <w:color w:val="202020"/>
          <w:sz w:val="21"/>
        </w:rPr>
        <w:t>An explanation leakage rate, evidence grounding measures, and explanation quality analysis</w:t>
      </w:r>
    </w:p>
    <w:p>
      <w:pPr>
        <w:spacing w:after="80" w:line="264" w:lineRule="auto"/>
      </w:pPr>
      <w:r>
        <w:rPr>
          <w:rFonts w:ascii="Calibri" w:hAnsi="Calibri"/>
          <w:b/>
          <w:color w:val="1F4D78"/>
          <w:sz w:val="21"/>
        </w:rPr>
        <w:t xml:space="preserve">Expected output: </w:t>
      </w:r>
      <w:r>
        <w:rPr>
          <w:rFonts w:ascii="Calibri" w:hAnsi="Calibri"/>
          <w:color w:val="202020"/>
          <w:sz w:val="21"/>
        </w:rPr>
        <w:t>A reproducible local explanation generation pipeline and the cached, evidence grounded explanation set with label free quality scores.</w:t>
      </w:r>
    </w:p>
    <w:p>
      <w:pPr>
        <w:pStyle w:val="Heading2"/>
      </w:pPr>
      <w:r>
        <w:t>RO 02: Fusion</w:t>
      </w:r>
    </w:p>
    <w:p>
      <w:pPr>
        <w:spacing w:after="80" w:line="264" w:lineRule="auto"/>
      </w:pPr>
      <w:r>
        <w:rPr>
          <w:rFonts w:ascii="Calibri" w:hAnsi="Calibri"/>
          <w:b/>
          <w:color w:val="1F4D78"/>
          <w:sz w:val="21"/>
        </w:rPr>
        <w:t xml:space="preserve">Objective: </w:t>
      </w:r>
      <w:r>
        <w:rPr>
          <w:rFonts w:ascii="Calibri" w:hAnsi="Calibri"/>
          <w:color w:val="202020"/>
          <w:sz w:val="21"/>
        </w:rPr>
        <w:t>Develop and evaluate a lightweight gated fusion module that combines cached code embeddings, explanation embeddings, and label free quality features.</w:t>
      </w:r>
    </w:p>
    <w:p>
      <w:pPr>
        <w:spacing w:after="80" w:line="264" w:lineRule="auto"/>
      </w:pPr>
      <w:r>
        <w:rPr>
          <w:rFonts w:ascii="Calibri" w:hAnsi="Calibri"/>
          <w:b/>
          <w:color w:val="1F4D78"/>
          <w:sz w:val="21"/>
        </w:rPr>
        <w:t xml:space="preserve">Research question: </w:t>
      </w:r>
      <w:r>
        <w:rPr>
          <w:rFonts w:ascii="Calibri" w:hAnsi="Calibri"/>
          <w:color w:val="202020"/>
          <w:sz w:val="21"/>
        </w:rPr>
        <w:t>How does quality aware adaptive gated fusion compare with static fusion, single modality models, and classical cached feature baselines in vulnerability detection performance and training efficiency?</w:t>
      </w:r>
    </w:p>
    <w:p>
      <w:pPr>
        <w:spacing w:after="80" w:line="264" w:lineRule="auto"/>
      </w:pPr>
      <w:r>
        <w:rPr>
          <w:rFonts w:ascii="Calibri" w:hAnsi="Calibri"/>
          <w:b/>
          <w:color w:val="1F4D78"/>
          <w:sz w:val="21"/>
        </w:rPr>
        <w:t xml:space="preserve">Evidence to report: </w:t>
      </w:r>
      <w:r>
        <w:rPr>
          <w:rFonts w:ascii="Calibri" w:hAnsi="Calibri"/>
          <w:color w:val="202020"/>
          <w:sz w:val="21"/>
        </w:rPr>
        <w:t>Controlled ablations, comparison with fusion and single modality baselines, encoder comparison, training efficiency, and predictive performance.</w:t>
      </w:r>
    </w:p>
    <w:p>
      <w:pPr>
        <w:spacing w:after="80" w:line="264" w:lineRule="auto"/>
      </w:pPr>
      <w:r>
        <w:rPr>
          <w:rFonts w:ascii="Calibri" w:hAnsi="Calibri"/>
          <w:b/>
          <w:color w:val="1F4D78"/>
          <w:sz w:val="21"/>
        </w:rPr>
        <w:t xml:space="preserve">Expected output: </w:t>
      </w:r>
      <w:r>
        <w:rPr>
          <w:rFonts w:ascii="Calibri" w:hAnsi="Calibri"/>
          <w:color w:val="202020"/>
          <w:sz w:val="21"/>
        </w:rPr>
        <w:t>The lightweight SemanticVul gated fusion model over frozen, cached encoders.</w:t>
      </w:r>
    </w:p>
    <w:p>
      <w:pPr>
        <w:pStyle w:val="Heading2"/>
      </w:pPr>
      <w:r>
        <w:t>RO 03: Overall Evaluation</w:t>
      </w:r>
    </w:p>
    <w:p>
      <w:pPr>
        <w:spacing w:after="80" w:line="264" w:lineRule="auto"/>
      </w:pPr>
      <w:r>
        <w:rPr>
          <w:rFonts w:ascii="Calibri" w:hAnsi="Calibri"/>
          <w:b/>
          <w:color w:val="1F4D78"/>
          <w:sz w:val="21"/>
        </w:rPr>
        <w:t xml:space="preserve">Objective: </w:t>
      </w:r>
      <w:r>
        <w:rPr>
          <w:rFonts w:ascii="Calibri" w:hAnsi="Calibri"/>
          <w:color w:val="202020"/>
          <w:sz w:val="21"/>
        </w:rPr>
        <w:t>Evaluate SemanticVul against FuSEVul and representative baselines under audited, explicitly declared experimental protocols.</w:t>
      </w:r>
    </w:p>
    <w:p>
      <w:pPr>
        <w:spacing w:after="80" w:line="264" w:lineRule="auto"/>
      </w:pPr>
      <w:r>
        <w:rPr>
          <w:rFonts w:ascii="Calibri" w:hAnsi="Calibri"/>
          <w:b/>
          <w:color w:val="1F4D78"/>
          <w:sz w:val="21"/>
        </w:rPr>
        <w:t xml:space="preserve">Research question: </w:t>
      </w:r>
      <w:r>
        <w:rPr>
          <w:rFonts w:ascii="Calibri" w:hAnsi="Calibri"/>
          <w:color w:val="202020"/>
          <w:sz w:val="21"/>
        </w:rPr>
        <w:t>Under the audited Devign and Reveal splits, how does SemanticVul compare with FuSEVul and representative baselines in predictive performance, threshold robustness, and low resource training feasibility?</w:t>
      </w:r>
    </w:p>
    <w:p>
      <w:pPr>
        <w:spacing w:after="80" w:line="264" w:lineRule="auto"/>
      </w:pPr>
      <w:r>
        <w:rPr>
          <w:rFonts w:ascii="Calibri" w:hAnsi="Calibri"/>
          <w:b/>
          <w:color w:val="1F4D78"/>
          <w:sz w:val="21"/>
        </w:rPr>
        <w:t xml:space="preserve">Evidence to report: </w:t>
      </w:r>
      <w:r>
        <w:rPr>
          <w:rFonts w:ascii="Calibri" w:hAnsi="Calibri"/>
          <w:color w:val="202020"/>
          <w:sz w:val="21"/>
        </w:rPr>
        <w:t>Five seed mean and standard deviation for Accuracy, Precision, Recall, F1, and PR AUC; threshold sensitivity analysis; and data quality findings</w:t>
      </w:r>
    </w:p>
    <w:p>
      <w:pPr>
        <w:spacing w:after="80" w:line="264" w:lineRule="auto"/>
      </w:pPr>
      <w:r>
        <w:rPr>
          <w:rFonts w:ascii="Calibri" w:hAnsi="Calibri"/>
          <w:b/>
          <w:color w:val="1F4D78"/>
          <w:sz w:val="21"/>
        </w:rPr>
        <w:t xml:space="preserve">Expected output: </w:t>
      </w:r>
      <w:r>
        <w:rPr>
          <w:rFonts w:ascii="Calibri" w:hAnsi="Calibri"/>
          <w:color w:val="202020"/>
          <w:sz w:val="21"/>
        </w:rPr>
        <w:t>A reproducible evaluation framework and comparative benchmark results on Devign and Reveal.</w:t>
      </w:r>
    </w:p>
    <w:p>
      <w:pPr>
        <w:pStyle w:val="Heading2"/>
      </w:pPr>
      <w:r>
        <w:t>RO 04: Class Imbalance</w:t>
      </w:r>
    </w:p>
    <w:p>
      <w:pPr>
        <w:spacing w:after="80" w:line="264" w:lineRule="auto"/>
      </w:pPr>
      <w:r>
        <w:rPr>
          <w:rFonts w:ascii="Calibri" w:hAnsi="Calibri"/>
          <w:b/>
          <w:color w:val="1F4D78"/>
          <w:sz w:val="21"/>
        </w:rPr>
        <w:t xml:space="preserve">Objective: </w:t>
      </w:r>
      <w:r>
        <w:rPr>
          <w:rFonts w:ascii="Calibri" w:hAnsi="Calibri"/>
          <w:color w:val="202020"/>
          <w:sz w:val="21"/>
        </w:rPr>
        <w:t>Investigate focal loss, capped class weighting, validation based threshold tuning, and multi seed ensembling through controlled ablation experiments.</w:t>
      </w:r>
    </w:p>
    <w:p>
      <w:pPr>
        <w:spacing w:after="80" w:line="264" w:lineRule="auto"/>
      </w:pPr>
      <w:r>
        <w:rPr>
          <w:rFonts w:ascii="Calibri" w:hAnsi="Calibri"/>
          <w:b/>
          <w:color w:val="1F4D78"/>
          <w:sz w:val="21"/>
        </w:rPr>
        <w:t xml:space="preserve">Research question: </w:t>
      </w:r>
      <w:r>
        <w:rPr>
          <w:rFonts w:ascii="Calibri" w:hAnsi="Calibri"/>
          <w:color w:val="202020"/>
          <w:sz w:val="21"/>
        </w:rPr>
        <w:t>What are the individual and combined effects of imbalance aware loss functions, validation based threshold tuning, and multi seed ensembling on minority class detection and the precision recall trade off?</w:t>
      </w:r>
    </w:p>
    <w:p>
      <w:pPr>
        <w:spacing w:after="80" w:line="264" w:lineRule="auto"/>
      </w:pPr>
      <w:r>
        <w:rPr>
          <w:rFonts w:ascii="Calibri" w:hAnsi="Calibri"/>
          <w:b/>
          <w:color w:val="1F4D78"/>
          <w:sz w:val="21"/>
        </w:rPr>
        <w:t xml:space="preserve">Evidence to report: </w:t>
      </w:r>
      <w:r>
        <w:rPr>
          <w:rFonts w:ascii="Calibri" w:hAnsi="Calibri"/>
          <w:color w:val="202020"/>
          <w:sz w:val="21"/>
        </w:rPr>
        <w:t>Component ablations, minority class Recall, precision recall curves, F1.</w:t>
      </w:r>
    </w:p>
    <w:p>
      <w:pPr>
        <w:spacing w:after="80" w:line="264" w:lineRule="auto"/>
      </w:pPr>
      <w:r>
        <w:rPr>
          <w:rFonts w:ascii="Calibri" w:hAnsi="Calibri"/>
          <w:b/>
          <w:color w:val="1F4D78"/>
          <w:sz w:val="21"/>
        </w:rPr>
        <w:t xml:space="preserve">Expected output: </w:t>
      </w:r>
      <w:r>
        <w:rPr>
          <w:rFonts w:ascii="Calibri" w:hAnsi="Calibri"/>
          <w:color w:val="202020"/>
          <w:sz w:val="21"/>
        </w:rPr>
        <w:t>An evaluated imbalance handling strategy and a validation based threshold selection procedure.</w:t>
      </w:r>
    </w:p>
    <w:p>
      <w:pPr>
        <w:pStyle w:val="Heading1"/>
      </w:pPr>
      <w:r>
        <w:t>3. Components Under Study</w:t>
      </w:r>
    </w:p>
    <w:p>
      <w:pPr>
        <w:spacing w:before="0" w:after="120" w:line="264" w:lineRule="auto"/>
      </w:pPr>
      <w:r>
        <w:rPr>
          <w:rFonts w:ascii="Calibri" w:hAnsi="Calibri"/>
          <w:b w:val="0"/>
          <w:color w:val="202020"/>
          <w:sz w:val="22"/>
        </w:rPr>
        <w:t>The ablation study treats the full SemanticVul system as a composition of separable blocks. Each block has a specific expected role in the pipeline and therefore a specific ablation test.</w:t>
      </w:r>
    </w:p>
    <w:tbl>
      <w:tblPr>
        <w:tblStyle w:val="TableGrid"/>
        <w:tblW w:type="dxa" w:w="9360"/>
        <w:tblLayout w:type="fixed"/>
        <w:tblLook w:firstColumn="1" w:firstRow="1" w:lastColumn="0" w:lastRow="0" w:noHBand="0" w:noVBand="1" w:val="04A0"/>
        <w:tblInd w:w="120" w:type="dxa"/>
      </w:tblPr>
      <w:tblGrid>
        <w:gridCol w:w="800"/>
        <w:gridCol w:w="1600"/>
        <w:gridCol w:w="3600"/>
        <w:gridCol w:w="3360"/>
      </w:tblGrid>
      <w:tr>
        <w:trPr/>
        <w:tc>
          <w:tcPr>
            <w:tcW w:type="dxa" w:w="800"/>
            <w:shd w:fill="F2F4F7"/>
            <w:tcMar>
              <w:top w:w="80" w:type="dxa"/>
              <w:start w:w="120" w:type="dxa"/>
              <w:bottom w:w="80" w:type="dxa"/>
              <w:end w:w="120" w:type="dxa"/>
            </w:tcMar>
            <w:vAlign w:val="center"/>
          </w:tcPr>
          <w:p>
            <w:pPr>
              <w:spacing w:after="0"/>
              <w:jc w:val="center"/>
            </w:pPr>
            <w:r>
              <w:rPr>
                <w:rFonts w:ascii="Calibri" w:hAnsi="Calibri"/>
                <w:b/>
                <w:color w:val="202020"/>
                <w:sz w:val="19"/>
              </w:rPr>
              <w:t>Symbol</w:t>
            </w:r>
          </w:p>
        </w:tc>
        <w:tc>
          <w:tcPr>
            <w:tcW w:type="dxa" w:w="1600"/>
            <w:shd w:fill="F2F4F7"/>
            <w:tcMar>
              <w:top w:w="80" w:type="dxa"/>
              <w:start w:w="120" w:type="dxa"/>
              <w:bottom w:w="80" w:type="dxa"/>
              <w:end w:w="120" w:type="dxa"/>
            </w:tcMar>
            <w:vAlign w:val="center"/>
          </w:tcPr>
          <w:p>
            <w:pPr>
              <w:spacing w:after="0"/>
              <w:jc w:val="center"/>
            </w:pPr>
            <w:r>
              <w:rPr>
                <w:rFonts w:ascii="Calibri" w:hAnsi="Calibri"/>
                <w:b/>
                <w:color w:val="202020"/>
                <w:sz w:val="19"/>
              </w:rPr>
              <w:t>Block</w:t>
            </w:r>
          </w:p>
        </w:tc>
        <w:tc>
          <w:tcPr>
            <w:tcW w:type="dxa" w:w="3600"/>
            <w:shd w:fill="F2F4F7"/>
            <w:tcMar>
              <w:top w:w="80" w:type="dxa"/>
              <w:start w:w="120" w:type="dxa"/>
              <w:bottom w:w="80" w:type="dxa"/>
              <w:end w:w="120" w:type="dxa"/>
            </w:tcMar>
            <w:vAlign w:val="center"/>
          </w:tcPr>
          <w:p>
            <w:pPr>
              <w:spacing w:after="0"/>
              <w:jc w:val="center"/>
            </w:pPr>
            <w:r>
              <w:rPr>
                <w:rFonts w:ascii="Calibri" w:hAnsi="Calibri"/>
                <w:b/>
                <w:color w:val="202020"/>
                <w:sz w:val="19"/>
              </w:rPr>
              <w:t>Operational definition</w:t>
            </w:r>
          </w:p>
        </w:tc>
        <w:tc>
          <w:tcPr>
            <w:tcW w:type="dxa" w:w="3360"/>
            <w:shd w:fill="F2F4F7"/>
            <w:tcMar>
              <w:top w:w="80" w:type="dxa"/>
              <w:start w:w="120" w:type="dxa"/>
              <w:bottom w:w="80" w:type="dxa"/>
              <w:end w:w="120" w:type="dxa"/>
            </w:tcMar>
            <w:vAlign w:val="center"/>
          </w:tcPr>
          <w:p>
            <w:pPr>
              <w:spacing w:after="0"/>
              <w:jc w:val="center"/>
            </w:pPr>
            <w:r>
              <w:rPr>
                <w:rFonts w:ascii="Calibri" w:hAnsi="Calibri"/>
                <w:b/>
                <w:color w:val="202020"/>
                <w:sz w:val="19"/>
              </w:rPr>
              <w:t>Expected contribution</w:t>
            </w:r>
          </w:p>
        </w:tc>
      </w:tr>
      <w:tr>
        <w:trPr/>
        <w:tc>
          <w:tcPr>
            <w:tcW w:type="dxa" w:w="800"/>
            <w:tcMar>
              <w:top w:w="80" w:type="dxa"/>
              <w:start w:w="120" w:type="dxa"/>
              <w:bottom w:w="80" w:type="dxa"/>
              <w:end w:w="120" w:type="dxa"/>
            </w:tcMar>
            <w:vAlign w:val="center"/>
          </w:tcPr>
          <w:p>
            <w:pPr>
              <w:spacing w:after="0" w:line="252" w:lineRule="auto"/>
              <w:jc w:val="center"/>
            </w:pPr>
            <w:r>
              <w:rPr>
                <w:rFonts w:ascii="Calibri" w:hAnsi="Calibri"/>
                <w:color w:val="202020"/>
                <w:sz w:val="18"/>
              </w:rPr>
              <w:t>C</w:t>
            </w:r>
          </w:p>
        </w:tc>
        <w:tc>
          <w:tcPr>
            <w:tcW w:type="dxa" w:w="1600"/>
            <w:tcMar>
              <w:top w:w="80" w:type="dxa"/>
              <w:start w:w="120" w:type="dxa"/>
              <w:bottom w:w="80" w:type="dxa"/>
              <w:end w:w="120" w:type="dxa"/>
            </w:tcMar>
            <w:vAlign w:val="center"/>
          </w:tcPr>
          <w:p>
            <w:pPr>
              <w:spacing w:after="0" w:line="252" w:lineRule="auto"/>
            </w:pPr>
            <w:r>
              <w:rPr>
                <w:rFonts w:ascii="Calibri" w:hAnsi="Calibri"/>
                <w:color w:val="202020"/>
                <w:sz w:val="18"/>
              </w:rPr>
              <w:t>Code channel</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Cached code embeddings generated from the code encoder.</w:t>
            </w:r>
          </w:p>
        </w:tc>
        <w:tc>
          <w:tcPr>
            <w:tcW w:type="dxa" w:w="3360"/>
            <w:tcMar>
              <w:top w:w="80" w:type="dxa"/>
              <w:start w:w="120" w:type="dxa"/>
              <w:bottom w:w="80" w:type="dxa"/>
              <w:end w:w="120" w:type="dxa"/>
            </w:tcMar>
            <w:vAlign w:val="center"/>
          </w:tcPr>
          <w:p>
            <w:pPr>
              <w:spacing w:after="0" w:line="252" w:lineRule="auto"/>
            </w:pPr>
            <w:r>
              <w:rPr>
                <w:rFonts w:ascii="Calibri" w:hAnsi="Calibri"/>
                <w:color w:val="202020"/>
                <w:sz w:val="18"/>
              </w:rPr>
              <w:t>Provides the primary source-code representation for vulnerability detection.</w:t>
            </w:r>
          </w:p>
        </w:tc>
      </w:tr>
      <w:tr>
        <w:trPr/>
        <w:tc>
          <w:tcPr>
            <w:tcW w:type="dxa" w:w="800"/>
            <w:tcMar>
              <w:top w:w="80" w:type="dxa"/>
              <w:start w:w="120" w:type="dxa"/>
              <w:bottom w:w="80" w:type="dxa"/>
              <w:end w:w="120" w:type="dxa"/>
            </w:tcMar>
            <w:vAlign w:val="center"/>
          </w:tcPr>
          <w:p>
            <w:pPr>
              <w:spacing w:after="0" w:line="252" w:lineRule="auto"/>
              <w:jc w:val="center"/>
            </w:pPr>
            <w:r>
              <w:rPr>
                <w:rFonts w:ascii="Calibri" w:hAnsi="Calibri"/>
                <w:color w:val="202020"/>
                <w:sz w:val="18"/>
              </w:rPr>
              <w:t>E</w:t>
            </w:r>
          </w:p>
        </w:tc>
        <w:tc>
          <w:tcPr>
            <w:tcW w:type="dxa" w:w="1600"/>
            <w:tcMar>
              <w:top w:w="80" w:type="dxa"/>
              <w:start w:w="120" w:type="dxa"/>
              <w:bottom w:w="80" w:type="dxa"/>
              <w:end w:w="120" w:type="dxa"/>
            </w:tcMar>
            <w:vAlign w:val="center"/>
          </w:tcPr>
          <w:p>
            <w:pPr>
              <w:spacing w:after="0" w:line="252" w:lineRule="auto"/>
            </w:pPr>
            <w:r>
              <w:rPr>
                <w:rFonts w:ascii="Calibri" w:hAnsi="Calibri"/>
                <w:color w:val="202020"/>
                <w:sz w:val="18"/>
              </w:rPr>
              <w:t>Explanation channel</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Local explanations generated using structured JSON output, verdict scrubbing, and evidence token grounding.</w:t>
            </w:r>
          </w:p>
        </w:tc>
        <w:tc>
          <w:tcPr>
            <w:tcW w:type="dxa" w:w="3360"/>
            <w:tcMar>
              <w:top w:w="80" w:type="dxa"/>
              <w:start w:w="120" w:type="dxa"/>
              <w:bottom w:w="80" w:type="dxa"/>
              <w:end w:w="120" w:type="dxa"/>
            </w:tcMar>
            <w:vAlign w:val="center"/>
          </w:tcPr>
          <w:p>
            <w:pPr>
              <w:spacing w:after="0" w:line="252" w:lineRule="auto"/>
            </w:pPr>
            <w:r>
              <w:rPr>
                <w:rFonts w:ascii="Calibri" w:hAnsi="Calibri"/>
                <w:color w:val="202020"/>
                <w:sz w:val="18"/>
              </w:rPr>
              <w:t>Adds semantic rationale and local evidence derived from the function.</w:t>
            </w:r>
          </w:p>
        </w:tc>
      </w:tr>
      <w:tr>
        <w:trPr/>
        <w:tc>
          <w:tcPr>
            <w:tcW w:type="dxa" w:w="800"/>
            <w:tcMar>
              <w:top w:w="80" w:type="dxa"/>
              <w:start w:w="120" w:type="dxa"/>
              <w:bottom w:w="80" w:type="dxa"/>
              <w:end w:w="120" w:type="dxa"/>
            </w:tcMar>
            <w:vAlign w:val="center"/>
          </w:tcPr>
          <w:p>
            <w:pPr>
              <w:spacing w:after="0" w:line="252" w:lineRule="auto"/>
              <w:jc w:val="center"/>
            </w:pPr>
            <w:r>
              <w:rPr>
                <w:rFonts w:ascii="Calibri" w:hAnsi="Calibri"/>
                <w:color w:val="202020"/>
                <w:sz w:val="18"/>
              </w:rPr>
              <w:t>Q</w:t>
            </w:r>
          </w:p>
        </w:tc>
        <w:tc>
          <w:tcPr>
            <w:tcW w:type="dxa" w:w="1600"/>
            <w:tcMar>
              <w:top w:w="80" w:type="dxa"/>
              <w:start w:w="120" w:type="dxa"/>
              <w:bottom w:w="80" w:type="dxa"/>
              <w:end w:w="120" w:type="dxa"/>
            </w:tcMar>
            <w:vAlign w:val="center"/>
          </w:tcPr>
          <w:p>
            <w:pPr>
              <w:spacing w:after="0" w:line="252" w:lineRule="auto"/>
            </w:pPr>
            <w:r>
              <w:rPr>
                <w:rFonts w:ascii="Calibri" w:hAnsi="Calibri"/>
                <w:color w:val="202020"/>
                <w:sz w:val="18"/>
              </w:rPr>
              <w:t>Quality features</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Label free quality features extracted from the explanation and its grounding properties.</w:t>
            </w:r>
          </w:p>
        </w:tc>
        <w:tc>
          <w:tcPr>
            <w:tcW w:type="dxa" w:w="3360"/>
            <w:tcMar>
              <w:top w:w="80" w:type="dxa"/>
              <w:start w:w="120" w:type="dxa"/>
              <w:bottom w:w="80" w:type="dxa"/>
              <w:end w:w="120" w:type="dxa"/>
            </w:tcMar>
            <w:vAlign w:val="center"/>
          </w:tcPr>
          <w:p>
            <w:pPr>
              <w:spacing w:after="0" w:line="252" w:lineRule="auto"/>
            </w:pPr>
            <w:r>
              <w:rPr>
                <w:rFonts w:ascii="Calibri" w:hAnsi="Calibri"/>
                <w:color w:val="202020"/>
                <w:sz w:val="18"/>
              </w:rPr>
              <w:t>Signals reliability of the explanation to the fusion module.</w:t>
            </w:r>
          </w:p>
        </w:tc>
      </w:tr>
      <w:tr>
        <w:trPr/>
        <w:tc>
          <w:tcPr>
            <w:tcW w:type="dxa" w:w="800"/>
            <w:tcMar>
              <w:top w:w="80" w:type="dxa"/>
              <w:start w:w="120" w:type="dxa"/>
              <w:bottom w:w="80" w:type="dxa"/>
              <w:end w:w="120" w:type="dxa"/>
            </w:tcMar>
            <w:vAlign w:val="center"/>
          </w:tcPr>
          <w:p>
            <w:pPr>
              <w:spacing w:after="0" w:line="252" w:lineRule="auto"/>
              <w:jc w:val="center"/>
            </w:pPr>
            <w:r>
              <w:rPr>
                <w:rFonts w:ascii="Calibri" w:hAnsi="Calibri"/>
                <w:color w:val="202020"/>
                <w:sz w:val="18"/>
              </w:rPr>
              <w:t>G</w:t>
            </w:r>
          </w:p>
        </w:tc>
        <w:tc>
          <w:tcPr>
            <w:tcW w:type="dxa" w:w="1600"/>
            <w:tcMar>
              <w:top w:w="80" w:type="dxa"/>
              <w:start w:w="120" w:type="dxa"/>
              <w:bottom w:w="80" w:type="dxa"/>
              <w:end w:w="120" w:type="dxa"/>
            </w:tcMar>
            <w:vAlign w:val="center"/>
          </w:tcPr>
          <w:p>
            <w:pPr>
              <w:spacing w:after="0" w:line="252" w:lineRule="auto"/>
            </w:pPr>
            <w:r>
              <w:rPr>
                <w:rFonts w:ascii="Calibri" w:hAnsi="Calibri"/>
                <w:color w:val="202020"/>
                <w:sz w:val="18"/>
              </w:rPr>
              <w:t>Gated fusion</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Quality aware adaptive fusion over cached code embeddings, explanation embeddings, and quality features.</w:t>
            </w:r>
          </w:p>
        </w:tc>
        <w:tc>
          <w:tcPr>
            <w:tcW w:type="dxa" w:w="3360"/>
            <w:tcMar>
              <w:top w:w="80" w:type="dxa"/>
              <w:start w:w="120" w:type="dxa"/>
              <w:bottom w:w="80" w:type="dxa"/>
              <w:end w:w="120" w:type="dxa"/>
            </w:tcMar>
            <w:vAlign w:val="center"/>
          </w:tcPr>
          <w:p>
            <w:pPr>
              <w:spacing w:after="0" w:line="252" w:lineRule="auto"/>
            </w:pPr>
            <w:r>
              <w:rPr>
                <w:rFonts w:ascii="Calibri" w:hAnsi="Calibri"/>
                <w:color w:val="202020"/>
                <w:sz w:val="18"/>
              </w:rPr>
              <w:t>Learns how much to rely on each channel for a given sample.</w:t>
            </w:r>
          </w:p>
        </w:tc>
      </w:tr>
      <w:tr>
        <w:trPr/>
        <w:tc>
          <w:tcPr>
            <w:tcW w:type="dxa" w:w="800"/>
            <w:tcMar>
              <w:top w:w="80" w:type="dxa"/>
              <w:start w:w="120" w:type="dxa"/>
              <w:bottom w:w="80" w:type="dxa"/>
              <w:end w:w="120" w:type="dxa"/>
            </w:tcMar>
            <w:vAlign w:val="center"/>
          </w:tcPr>
          <w:p>
            <w:pPr>
              <w:spacing w:after="0" w:line="252" w:lineRule="auto"/>
              <w:jc w:val="center"/>
            </w:pPr>
            <w:r>
              <w:rPr>
                <w:rFonts w:ascii="Calibri" w:hAnsi="Calibri"/>
                <w:color w:val="202020"/>
                <w:sz w:val="18"/>
              </w:rPr>
              <w:t>I</w:t>
            </w:r>
          </w:p>
        </w:tc>
        <w:tc>
          <w:tcPr>
            <w:tcW w:type="dxa" w:w="1600"/>
            <w:tcMar>
              <w:top w:w="80" w:type="dxa"/>
              <w:start w:w="120" w:type="dxa"/>
              <w:bottom w:w="80" w:type="dxa"/>
              <w:end w:w="120" w:type="dxa"/>
            </w:tcMar>
            <w:vAlign w:val="center"/>
          </w:tcPr>
          <w:p>
            <w:pPr>
              <w:spacing w:after="0" w:line="252" w:lineRule="auto"/>
            </w:pPr>
            <w:r>
              <w:rPr>
                <w:rFonts w:ascii="Calibri" w:hAnsi="Calibri"/>
                <w:color w:val="202020"/>
                <w:sz w:val="18"/>
              </w:rPr>
              <w:t>Imbalance strategy</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Focal loss, capped class weighting, validation based threshold tuning, and multi seed ensembling.</w:t>
            </w:r>
          </w:p>
        </w:tc>
        <w:tc>
          <w:tcPr>
            <w:tcW w:type="dxa" w:w="3360"/>
            <w:tcMar>
              <w:top w:w="80" w:type="dxa"/>
              <w:start w:w="120" w:type="dxa"/>
              <w:bottom w:w="80" w:type="dxa"/>
              <w:end w:w="120" w:type="dxa"/>
            </w:tcMar>
            <w:vAlign w:val="center"/>
          </w:tcPr>
          <w:p>
            <w:pPr>
              <w:spacing w:after="0" w:line="252" w:lineRule="auto"/>
            </w:pPr>
            <w:r>
              <w:rPr>
                <w:rFonts w:ascii="Calibri" w:hAnsi="Calibri"/>
                <w:color w:val="202020"/>
                <w:sz w:val="18"/>
              </w:rPr>
              <w:t>Improves minority class detection and stabilizes the precision recall trade off.</w:t>
            </w:r>
          </w:p>
        </w:tc>
      </w:tr>
    </w:tbl>
    <w:p>
      <w:pPr>
        <w:spacing w:after="80"/>
      </w:pPr>
    </w:p>
    <w:p>
      <w:pPr>
        <w:pStyle w:val="Heading1"/>
      </w:pPr>
      <w:r>
        <w:t>4. Research Questions and Hypotheses</w:t>
      </w:r>
    </w:p>
    <w:p>
      <w:pPr>
        <w:spacing w:before="0" w:after="120" w:line="264" w:lineRule="auto"/>
      </w:pPr>
      <w:r>
        <w:rPr>
          <w:rFonts w:ascii="Calibri" w:hAnsi="Calibri"/>
          <w:b w:val="0"/>
          <w:color w:val="202020"/>
          <w:sz w:val="22"/>
        </w:rPr>
        <w:t>The following hypotheses are pre-registered before running the ablations. All configurations will be reported regardless of whether the hypothesis is supported. This prevents selective reporting and keeps the ablation study auditable.</w:t>
      </w:r>
    </w:p>
    <w:tbl>
      <w:tblPr>
        <w:tblStyle w:val="TableGrid"/>
        <w:tblW w:type="dxa" w:w="9360"/>
        <w:tblLayout w:type="fixed"/>
        <w:tblLook w:firstColumn="1" w:firstRow="1" w:lastColumn="0" w:lastRow="0" w:noHBand="0" w:noVBand="1" w:val="04A0"/>
        <w:tblInd w:w="120" w:type="dxa"/>
      </w:tblPr>
      <w:tblGrid>
        <w:gridCol w:w="700"/>
        <w:gridCol w:w="3300"/>
        <w:gridCol w:w="2800"/>
        <w:gridCol w:w="2560"/>
      </w:tblGrid>
      <w:tr>
        <w:trPr/>
        <w:tc>
          <w:tcPr>
            <w:tcW w:type="dxa" w:w="700"/>
            <w:shd w:fill="F2F4F7"/>
            <w:tcMar>
              <w:top w:w="80" w:type="dxa"/>
              <w:start w:w="120" w:type="dxa"/>
              <w:bottom w:w="80" w:type="dxa"/>
              <w:end w:w="120" w:type="dxa"/>
            </w:tcMar>
            <w:vAlign w:val="center"/>
          </w:tcPr>
          <w:p>
            <w:pPr>
              <w:spacing w:after="0"/>
              <w:jc w:val="center"/>
            </w:pPr>
            <w:r>
              <w:rPr>
                <w:rFonts w:ascii="Calibri" w:hAnsi="Calibri"/>
                <w:b/>
                <w:color w:val="202020"/>
                <w:sz w:val="19"/>
              </w:rPr>
              <w:t>RQ</w:t>
            </w:r>
          </w:p>
        </w:tc>
        <w:tc>
          <w:tcPr>
            <w:tcW w:type="dxa" w:w="3300"/>
            <w:shd w:fill="F2F4F7"/>
            <w:tcMar>
              <w:top w:w="80" w:type="dxa"/>
              <w:start w:w="120" w:type="dxa"/>
              <w:bottom w:w="80" w:type="dxa"/>
              <w:end w:w="120" w:type="dxa"/>
            </w:tcMar>
            <w:vAlign w:val="center"/>
          </w:tcPr>
          <w:p>
            <w:pPr>
              <w:spacing w:after="0"/>
              <w:jc w:val="center"/>
            </w:pPr>
            <w:r>
              <w:rPr>
                <w:rFonts w:ascii="Calibri" w:hAnsi="Calibri"/>
                <w:b/>
                <w:color w:val="202020"/>
                <w:sz w:val="19"/>
              </w:rPr>
              <w:t>Question</w:t>
            </w:r>
          </w:p>
        </w:tc>
        <w:tc>
          <w:tcPr>
            <w:tcW w:type="dxa" w:w="2800"/>
            <w:shd w:fill="F2F4F7"/>
            <w:tcMar>
              <w:top w:w="80" w:type="dxa"/>
              <w:start w:w="120" w:type="dxa"/>
              <w:bottom w:w="80" w:type="dxa"/>
              <w:end w:w="120" w:type="dxa"/>
            </w:tcMar>
            <w:vAlign w:val="center"/>
          </w:tcPr>
          <w:p>
            <w:pPr>
              <w:spacing w:after="0"/>
              <w:jc w:val="center"/>
            </w:pPr>
            <w:r>
              <w:rPr>
                <w:rFonts w:ascii="Calibri" w:hAnsi="Calibri"/>
                <w:b/>
                <w:color w:val="202020"/>
                <w:sz w:val="19"/>
              </w:rPr>
              <w:t>Comparison</w:t>
            </w:r>
          </w:p>
        </w:tc>
        <w:tc>
          <w:tcPr>
            <w:tcW w:type="dxa" w:w="2560"/>
            <w:shd w:fill="F2F4F7"/>
            <w:tcMar>
              <w:top w:w="80" w:type="dxa"/>
              <w:start w:w="120" w:type="dxa"/>
              <w:bottom w:w="80" w:type="dxa"/>
              <w:end w:w="120" w:type="dxa"/>
            </w:tcMar>
            <w:vAlign w:val="center"/>
          </w:tcPr>
          <w:p>
            <w:pPr>
              <w:spacing w:after="0"/>
              <w:jc w:val="center"/>
            </w:pPr>
            <w:r>
              <w:rPr>
                <w:rFonts w:ascii="Calibri" w:hAnsi="Calibri"/>
                <w:b/>
                <w:color w:val="202020"/>
                <w:sz w:val="19"/>
              </w:rPr>
              <w:t>Hypothesis</w:t>
            </w:r>
          </w:p>
        </w:tc>
      </w:tr>
      <w:tr>
        <w:trPr/>
        <w:tc>
          <w:tcPr>
            <w:tcW w:type="dxa" w:w="700"/>
            <w:tcMar>
              <w:top w:w="80" w:type="dxa"/>
              <w:start w:w="120" w:type="dxa"/>
              <w:bottom w:w="80" w:type="dxa"/>
              <w:end w:w="120" w:type="dxa"/>
            </w:tcMar>
            <w:vAlign w:val="center"/>
          </w:tcPr>
          <w:p>
            <w:pPr>
              <w:spacing w:after="0" w:line="252" w:lineRule="auto"/>
              <w:jc w:val="center"/>
            </w:pPr>
            <w:r>
              <w:rPr>
                <w:rFonts w:ascii="Calibri" w:hAnsi="Calibri"/>
                <w:color w:val="202020"/>
                <w:sz w:val="18"/>
              </w:rPr>
              <w:t>RQ1</w:t>
            </w:r>
          </w:p>
        </w:tc>
        <w:tc>
          <w:tcPr>
            <w:tcW w:type="dxa" w:w="3300"/>
            <w:tcMar>
              <w:top w:w="80" w:type="dxa"/>
              <w:start w:w="120" w:type="dxa"/>
              <w:bottom w:w="80" w:type="dxa"/>
              <w:end w:w="120" w:type="dxa"/>
            </w:tcMar>
            <w:vAlign w:val="center"/>
          </w:tcPr>
          <w:p>
            <w:pPr>
              <w:spacing w:after="0" w:line="252" w:lineRule="auto"/>
            </w:pPr>
            <w:r>
              <w:rPr>
                <w:rFonts w:ascii="Calibri" w:hAnsi="Calibri"/>
                <w:color w:val="202020"/>
                <w:sz w:val="18"/>
              </w:rPr>
              <w:t>To what extent do locally generated, verdict scrubbed, evidence grounded explanations improve explanation faithfulness and downstream vulnerability detection as compared with FuSEVul style free form LLM explanations?</w:t>
            </w:r>
          </w:p>
        </w:tc>
        <w:tc>
          <w:tcPr>
            <w:tcW w:type="dxa" w:w="2800"/>
            <w:tcMar>
              <w:top w:w="80" w:type="dxa"/>
              <w:start w:w="120" w:type="dxa"/>
              <w:bottom w:w="80" w:type="dxa"/>
              <w:end w:w="120" w:type="dxa"/>
            </w:tcMar>
            <w:vAlign w:val="center"/>
          </w:tcPr>
          <w:p>
            <w:pPr>
              <w:spacing w:after="0" w:line="252" w:lineRule="auto"/>
            </w:pPr>
            <w:r>
              <w:rPr>
                <w:rFonts w:ascii="Calibri" w:hAnsi="Calibri"/>
                <w:color w:val="202020"/>
                <w:sz w:val="18"/>
              </w:rPr>
              <w:t>Structured evidence grounded explanations versus FuSEVul style free form explanations; with and without verdict scrubbing; with and without evidence grounding.</w:t>
            </w:r>
          </w:p>
        </w:tc>
        <w:tc>
          <w:tcPr>
            <w:tcW w:type="dxa" w:w="2560"/>
            <w:tcMar>
              <w:top w:w="80" w:type="dxa"/>
              <w:start w:w="120" w:type="dxa"/>
              <w:bottom w:w="80" w:type="dxa"/>
              <w:end w:w="120" w:type="dxa"/>
            </w:tcMar>
            <w:vAlign w:val="center"/>
          </w:tcPr>
          <w:p>
            <w:pPr>
              <w:spacing w:after="0" w:line="252" w:lineRule="auto"/>
            </w:pPr>
            <w:r>
              <w:rPr>
                <w:rFonts w:ascii="Calibri" w:hAnsi="Calibri"/>
                <w:color w:val="202020"/>
                <w:sz w:val="18"/>
              </w:rPr>
              <w:t>Structured, verdict scrubbed, evidence grounded explanations will reduce leakage, improve grounding, and improve downstream detection compared with free form explanations.</w:t>
            </w:r>
          </w:p>
        </w:tc>
      </w:tr>
      <w:tr>
        <w:trPr/>
        <w:tc>
          <w:tcPr>
            <w:tcW w:type="dxa" w:w="700"/>
            <w:tcMar>
              <w:top w:w="80" w:type="dxa"/>
              <w:start w:w="120" w:type="dxa"/>
              <w:bottom w:w="80" w:type="dxa"/>
              <w:end w:w="120" w:type="dxa"/>
            </w:tcMar>
            <w:vAlign w:val="center"/>
          </w:tcPr>
          <w:p>
            <w:pPr>
              <w:spacing w:after="0" w:line="252" w:lineRule="auto"/>
              <w:jc w:val="center"/>
            </w:pPr>
            <w:r>
              <w:rPr>
                <w:rFonts w:ascii="Calibri" w:hAnsi="Calibri"/>
                <w:color w:val="202020"/>
                <w:sz w:val="18"/>
              </w:rPr>
              <w:t>RQ2</w:t>
            </w:r>
          </w:p>
        </w:tc>
        <w:tc>
          <w:tcPr>
            <w:tcW w:type="dxa" w:w="3300"/>
            <w:tcMar>
              <w:top w:w="80" w:type="dxa"/>
              <w:start w:w="120" w:type="dxa"/>
              <w:bottom w:w="80" w:type="dxa"/>
              <w:end w:w="120" w:type="dxa"/>
            </w:tcMar>
            <w:vAlign w:val="center"/>
          </w:tcPr>
          <w:p>
            <w:pPr>
              <w:spacing w:after="0" w:line="252" w:lineRule="auto"/>
            </w:pPr>
            <w:r>
              <w:rPr>
                <w:rFonts w:ascii="Calibri" w:hAnsi="Calibri"/>
                <w:color w:val="202020"/>
                <w:sz w:val="18"/>
              </w:rPr>
              <w:t>How does quality aware adaptive gated fusion compare with static fusion, single modality models, and classical cached feature baselines in vulnerability detection performance and training efficiency?</w:t>
            </w:r>
          </w:p>
        </w:tc>
        <w:tc>
          <w:tcPr>
            <w:tcW w:type="dxa" w:w="2800"/>
            <w:tcMar>
              <w:top w:w="80" w:type="dxa"/>
              <w:start w:w="120" w:type="dxa"/>
              <w:bottom w:w="80" w:type="dxa"/>
              <w:end w:w="120" w:type="dxa"/>
            </w:tcMar>
            <w:vAlign w:val="center"/>
          </w:tcPr>
          <w:p>
            <w:pPr>
              <w:spacing w:after="0" w:line="252" w:lineRule="auto"/>
            </w:pPr>
            <w:r>
              <w:rPr>
                <w:rFonts w:ascii="Calibri" w:hAnsi="Calibri"/>
                <w:color w:val="202020"/>
                <w:sz w:val="18"/>
              </w:rPr>
              <w:t>Full gated fusion versus static fusion, code-only, explanation-only, code plus quality features, and classical cached feature baselines.</w:t>
            </w:r>
          </w:p>
        </w:tc>
        <w:tc>
          <w:tcPr>
            <w:tcW w:type="dxa" w:w="2560"/>
            <w:tcMar>
              <w:top w:w="80" w:type="dxa"/>
              <w:start w:w="120" w:type="dxa"/>
              <w:bottom w:w="80" w:type="dxa"/>
              <w:end w:w="120" w:type="dxa"/>
            </w:tcMar>
            <w:vAlign w:val="center"/>
          </w:tcPr>
          <w:p>
            <w:pPr>
              <w:spacing w:after="0" w:line="252" w:lineRule="auto"/>
            </w:pPr>
            <w:r>
              <w:rPr>
                <w:rFonts w:ascii="Calibri" w:hAnsi="Calibri"/>
                <w:color w:val="202020"/>
                <w:sz w:val="18"/>
              </w:rPr>
              <w:t>Quality aware adaptive gated fusion will improve F1 and PR AUC over static fusion and single-modality variants while keeping training cost low because encoders are frozen and cached.</w:t>
            </w:r>
          </w:p>
        </w:tc>
      </w:tr>
      <w:tr>
        <w:trPr/>
        <w:tc>
          <w:tcPr>
            <w:tcW w:type="dxa" w:w="700"/>
            <w:tcMar>
              <w:top w:w="80" w:type="dxa"/>
              <w:start w:w="120" w:type="dxa"/>
              <w:bottom w:w="80" w:type="dxa"/>
              <w:end w:w="120" w:type="dxa"/>
            </w:tcMar>
            <w:vAlign w:val="center"/>
          </w:tcPr>
          <w:p>
            <w:pPr>
              <w:spacing w:after="0" w:line="252" w:lineRule="auto"/>
              <w:jc w:val="center"/>
            </w:pPr>
            <w:r>
              <w:rPr>
                <w:rFonts w:ascii="Calibri" w:hAnsi="Calibri"/>
                <w:color w:val="202020"/>
                <w:sz w:val="18"/>
              </w:rPr>
              <w:t>RQ3</w:t>
            </w:r>
          </w:p>
        </w:tc>
        <w:tc>
          <w:tcPr>
            <w:tcW w:type="dxa" w:w="3300"/>
            <w:tcMar>
              <w:top w:w="80" w:type="dxa"/>
              <w:start w:w="120" w:type="dxa"/>
              <w:bottom w:w="80" w:type="dxa"/>
              <w:end w:w="120" w:type="dxa"/>
            </w:tcMar>
            <w:vAlign w:val="center"/>
          </w:tcPr>
          <w:p>
            <w:pPr>
              <w:spacing w:after="0" w:line="252" w:lineRule="auto"/>
            </w:pPr>
            <w:r>
              <w:rPr>
                <w:rFonts w:ascii="Calibri" w:hAnsi="Calibri"/>
                <w:color w:val="202020"/>
                <w:sz w:val="18"/>
              </w:rPr>
              <w:t>Under the audited Devign and Reveal splits, how does SemanticVul compare with FuSEVul and representative baselines in predictive performance, threshold robustness, and low resource training feasibility?</w:t>
            </w:r>
          </w:p>
        </w:tc>
        <w:tc>
          <w:tcPr>
            <w:tcW w:type="dxa" w:w="2800"/>
            <w:tcMar>
              <w:top w:w="80" w:type="dxa"/>
              <w:start w:w="120" w:type="dxa"/>
              <w:bottom w:w="80" w:type="dxa"/>
              <w:end w:w="120" w:type="dxa"/>
            </w:tcMar>
            <w:vAlign w:val="center"/>
          </w:tcPr>
          <w:p>
            <w:pPr>
              <w:spacing w:after="0" w:line="252" w:lineRule="auto"/>
            </w:pPr>
            <w:r>
              <w:rPr>
                <w:rFonts w:ascii="Calibri" w:hAnsi="Calibri"/>
                <w:color w:val="202020"/>
                <w:sz w:val="18"/>
              </w:rPr>
              <w:t>Full SemanticVul model versus FuSEVul and representative baselines under the same audited protocol.</w:t>
            </w:r>
          </w:p>
        </w:tc>
        <w:tc>
          <w:tcPr>
            <w:tcW w:type="dxa" w:w="2560"/>
            <w:tcMar>
              <w:top w:w="80" w:type="dxa"/>
              <w:start w:w="120" w:type="dxa"/>
              <w:bottom w:w="80" w:type="dxa"/>
              <w:end w:w="120" w:type="dxa"/>
            </w:tcMar>
            <w:vAlign w:val="center"/>
          </w:tcPr>
          <w:p>
            <w:pPr>
              <w:spacing w:after="0" w:line="252" w:lineRule="auto"/>
            </w:pPr>
            <w:r>
              <w:rPr>
                <w:rFonts w:ascii="Calibri" w:hAnsi="Calibri"/>
                <w:color w:val="202020"/>
                <w:sz w:val="18"/>
              </w:rPr>
              <w:t>SemanticVul will be competitive with, or stronger than, the comparison baselines and will show more transparent threshold behavior under the audited splits.</w:t>
            </w:r>
          </w:p>
        </w:tc>
      </w:tr>
      <w:tr>
        <w:trPr/>
        <w:tc>
          <w:tcPr>
            <w:tcW w:type="dxa" w:w="700"/>
            <w:tcMar>
              <w:top w:w="80" w:type="dxa"/>
              <w:start w:w="120" w:type="dxa"/>
              <w:bottom w:w="80" w:type="dxa"/>
              <w:end w:w="120" w:type="dxa"/>
            </w:tcMar>
            <w:vAlign w:val="center"/>
          </w:tcPr>
          <w:p>
            <w:pPr>
              <w:spacing w:after="0" w:line="252" w:lineRule="auto"/>
              <w:jc w:val="center"/>
            </w:pPr>
            <w:r>
              <w:rPr>
                <w:rFonts w:ascii="Calibri" w:hAnsi="Calibri"/>
                <w:color w:val="202020"/>
                <w:sz w:val="18"/>
              </w:rPr>
              <w:t>RQ4</w:t>
            </w:r>
          </w:p>
        </w:tc>
        <w:tc>
          <w:tcPr>
            <w:tcW w:type="dxa" w:w="3300"/>
            <w:tcMar>
              <w:top w:w="80" w:type="dxa"/>
              <w:start w:w="120" w:type="dxa"/>
              <w:bottom w:w="80" w:type="dxa"/>
              <w:end w:w="120" w:type="dxa"/>
            </w:tcMar>
            <w:vAlign w:val="center"/>
          </w:tcPr>
          <w:p>
            <w:pPr>
              <w:spacing w:after="0" w:line="252" w:lineRule="auto"/>
            </w:pPr>
            <w:r>
              <w:rPr>
                <w:rFonts w:ascii="Calibri" w:hAnsi="Calibri"/>
                <w:color w:val="202020"/>
                <w:sz w:val="18"/>
              </w:rPr>
              <w:t>What are the individual and combined effects of imbalance aware loss functions, validation based threshold tuning, and multi seed ensembling on minority class detection and the precision recall trade off?</w:t>
            </w:r>
          </w:p>
        </w:tc>
        <w:tc>
          <w:tcPr>
            <w:tcW w:type="dxa" w:w="2800"/>
            <w:tcMar>
              <w:top w:w="80" w:type="dxa"/>
              <w:start w:w="120" w:type="dxa"/>
              <w:bottom w:w="80" w:type="dxa"/>
              <w:end w:w="120" w:type="dxa"/>
            </w:tcMar>
            <w:vAlign w:val="center"/>
          </w:tcPr>
          <w:p>
            <w:pPr>
              <w:spacing w:after="0" w:line="252" w:lineRule="auto"/>
            </w:pPr>
            <w:r>
              <w:rPr>
                <w:rFonts w:ascii="Calibri" w:hAnsi="Calibri"/>
                <w:color w:val="202020"/>
                <w:sz w:val="18"/>
              </w:rPr>
              <w:t>Full imbalance strategy versus removal or isolated addition of focal loss, capped class weighting, threshold tuning, and multi seed ensembling.</w:t>
            </w:r>
          </w:p>
        </w:tc>
        <w:tc>
          <w:tcPr>
            <w:tcW w:type="dxa" w:w="2560"/>
            <w:tcMar>
              <w:top w:w="80" w:type="dxa"/>
              <w:start w:w="120" w:type="dxa"/>
              <w:bottom w:w="80" w:type="dxa"/>
              <w:end w:w="120" w:type="dxa"/>
            </w:tcMar>
            <w:vAlign w:val="center"/>
          </w:tcPr>
          <w:p>
            <w:pPr>
              <w:spacing w:after="0" w:line="252" w:lineRule="auto"/>
            </w:pPr>
            <w:r>
              <w:rPr>
                <w:rFonts w:ascii="Calibri" w:hAnsi="Calibri"/>
                <w:color w:val="202020"/>
                <w:sz w:val="18"/>
              </w:rPr>
              <w:t>Validation based threshold tuning and imbalance aware training will improve minority class Recall and PR AUC; ensembling will mainly improve stability across seeds.</w:t>
            </w:r>
          </w:p>
        </w:tc>
      </w:tr>
    </w:tbl>
    <w:p>
      <w:pPr>
        <w:spacing w:after="80"/>
      </w:pPr>
    </w:p>
    <w:p>
      <w:pPr>
        <w:pStyle w:val="Heading1"/>
      </w:pPr>
      <w:r>
        <w:t>5. Ablation Configurations</w:t>
      </w:r>
    </w:p>
    <w:p>
      <w:pPr>
        <w:spacing w:before="0" w:after="120" w:line="264" w:lineRule="auto"/>
      </w:pPr>
      <w:r>
        <w:rPr>
          <w:rFonts w:ascii="Calibri" w:hAnsi="Calibri"/>
          <w:b w:val="0"/>
          <w:color w:val="202020"/>
          <w:sz w:val="22"/>
        </w:rPr>
        <w:t>The core study uses two complementary views. The component ladder starts from the simplest useful detector and adds blocks step by step. The leave-one-out view starts from the complete model and removes one block at a time. Together, these two views report both additive benefit and marginal necessity.</w:t>
      </w:r>
    </w:p>
    <w:tbl>
      <w:tblPr>
        <w:tblStyle w:val="TableGrid"/>
        <w:tblW w:type="dxa" w:w="9360"/>
        <w:tblLayout w:type="fixed"/>
        <w:tblLook w:firstColumn="1" w:firstRow="1" w:lastColumn="0" w:lastRow="0" w:noHBand="0" w:noVBand="1" w:val="04A0"/>
        <w:tblInd w:w="120" w:type="dxa"/>
      </w:tblPr>
      <w:tblGrid>
        <w:gridCol w:w="900"/>
        <w:gridCol w:w="620"/>
        <w:gridCol w:w="620"/>
        <w:gridCol w:w="620"/>
        <w:gridCol w:w="2100"/>
        <w:gridCol w:w="1000"/>
        <w:gridCol w:w="3500"/>
      </w:tblGrid>
      <w:tr>
        <w:trPr/>
        <w:tc>
          <w:tcPr>
            <w:tcW w:type="dxa" w:w="900"/>
            <w:shd w:fill="F2F4F7"/>
            <w:tcMar>
              <w:top w:w="80" w:type="dxa"/>
              <w:start w:w="120" w:type="dxa"/>
              <w:bottom w:w="80" w:type="dxa"/>
              <w:end w:w="120" w:type="dxa"/>
            </w:tcMar>
            <w:vAlign w:val="center"/>
          </w:tcPr>
          <w:p>
            <w:pPr>
              <w:spacing w:after="0"/>
              <w:jc w:val="center"/>
            </w:pPr>
            <w:r>
              <w:rPr>
                <w:rFonts w:ascii="Calibri" w:hAnsi="Calibri"/>
                <w:b/>
                <w:color w:val="202020"/>
                <w:sz w:val="19"/>
              </w:rPr>
              <w:t>Config</w:t>
            </w:r>
          </w:p>
        </w:tc>
        <w:tc>
          <w:tcPr>
            <w:tcW w:type="dxa" w:w="620"/>
            <w:shd w:fill="F2F4F7"/>
            <w:tcMar>
              <w:top w:w="80" w:type="dxa"/>
              <w:start w:w="120" w:type="dxa"/>
              <w:bottom w:w="80" w:type="dxa"/>
              <w:end w:w="120" w:type="dxa"/>
            </w:tcMar>
            <w:vAlign w:val="center"/>
          </w:tcPr>
          <w:p>
            <w:pPr>
              <w:spacing w:after="0"/>
              <w:jc w:val="center"/>
            </w:pPr>
            <w:r>
              <w:rPr>
                <w:rFonts w:ascii="Calibri" w:hAnsi="Calibri"/>
                <w:b/>
                <w:color w:val="202020"/>
                <w:sz w:val="19"/>
              </w:rPr>
              <w:t>C</w:t>
            </w:r>
          </w:p>
        </w:tc>
        <w:tc>
          <w:tcPr>
            <w:tcW w:type="dxa" w:w="620"/>
            <w:shd w:fill="F2F4F7"/>
            <w:tcMar>
              <w:top w:w="80" w:type="dxa"/>
              <w:start w:w="120" w:type="dxa"/>
              <w:bottom w:w="80" w:type="dxa"/>
              <w:end w:w="120" w:type="dxa"/>
            </w:tcMar>
            <w:vAlign w:val="center"/>
          </w:tcPr>
          <w:p>
            <w:pPr>
              <w:spacing w:after="0"/>
              <w:jc w:val="center"/>
            </w:pPr>
            <w:r>
              <w:rPr>
                <w:rFonts w:ascii="Calibri" w:hAnsi="Calibri"/>
                <w:b/>
                <w:color w:val="202020"/>
                <w:sz w:val="19"/>
              </w:rPr>
              <w:t>E</w:t>
            </w:r>
          </w:p>
        </w:tc>
        <w:tc>
          <w:tcPr>
            <w:tcW w:type="dxa" w:w="620"/>
            <w:shd w:fill="F2F4F7"/>
            <w:tcMar>
              <w:top w:w="80" w:type="dxa"/>
              <w:start w:w="120" w:type="dxa"/>
              <w:bottom w:w="80" w:type="dxa"/>
              <w:end w:w="120" w:type="dxa"/>
            </w:tcMar>
            <w:vAlign w:val="center"/>
          </w:tcPr>
          <w:p>
            <w:pPr>
              <w:spacing w:after="0"/>
              <w:jc w:val="center"/>
            </w:pPr>
            <w:r>
              <w:rPr>
                <w:rFonts w:ascii="Calibri" w:hAnsi="Calibri"/>
                <w:b/>
                <w:color w:val="202020"/>
                <w:sz w:val="19"/>
              </w:rPr>
              <w:t>Q</w:t>
            </w:r>
          </w:p>
        </w:tc>
        <w:tc>
          <w:tcPr>
            <w:tcW w:type="dxa" w:w="2100"/>
            <w:shd w:fill="F2F4F7"/>
            <w:tcMar>
              <w:top w:w="80" w:type="dxa"/>
              <w:start w:w="120" w:type="dxa"/>
              <w:bottom w:w="80" w:type="dxa"/>
              <w:end w:w="120" w:type="dxa"/>
            </w:tcMar>
            <w:vAlign w:val="center"/>
          </w:tcPr>
          <w:p>
            <w:pPr>
              <w:spacing w:after="0"/>
              <w:jc w:val="center"/>
            </w:pPr>
            <w:r>
              <w:rPr>
                <w:rFonts w:ascii="Calibri" w:hAnsi="Calibri"/>
                <w:b/>
                <w:color w:val="202020"/>
                <w:sz w:val="19"/>
              </w:rPr>
              <w:t>Fusion</w:t>
            </w:r>
          </w:p>
        </w:tc>
        <w:tc>
          <w:tcPr>
            <w:tcW w:type="dxa" w:w="1000"/>
            <w:shd w:fill="F2F4F7"/>
            <w:tcMar>
              <w:top w:w="80" w:type="dxa"/>
              <w:start w:w="120" w:type="dxa"/>
              <w:bottom w:w="80" w:type="dxa"/>
              <w:end w:w="120" w:type="dxa"/>
            </w:tcMar>
            <w:vAlign w:val="center"/>
          </w:tcPr>
          <w:p>
            <w:pPr>
              <w:spacing w:after="0"/>
              <w:jc w:val="center"/>
            </w:pPr>
            <w:r>
              <w:rPr>
                <w:rFonts w:ascii="Calibri" w:hAnsi="Calibri"/>
                <w:b/>
                <w:color w:val="202020"/>
                <w:sz w:val="19"/>
              </w:rPr>
              <w:t>Training</w:t>
            </w:r>
          </w:p>
        </w:tc>
        <w:tc>
          <w:tcPr>
            <w:tcW w:type="dxa" w:w="3500"/>
            <w:shd w:fill="F2F4F7"/>
            <w:tcMar>
              <w:top w:w="80" w:type="dxa"/>
              <w:start w:w="120" w:type="dxa"/>
              <w:bottom w:w="80" w:type="dxa"/>
              <w:end w:w="120" w:type="dxa"/>
            </w:tcMar>
            <w:vAlign w:val="center"/>
          </w:tcPr>
          <w:p>
            <w:pPr>
              <w:spacing w:after="0"/>
              <w:jc w:val="center"/>
            </w:pPr>
            <w:r>
              <w:rPr>
                <w:rFonts w:ascii="Calibri" w:hAnsi="Calibri"/>
                <w:b/>
                <w:color w:val="202020"/>
                <w:sz w:val="19"/>
              </w:rPr>
              <w:t>Role</w:t>
            </w:r>
          </w:p>
        </w:tc>
      </w:tr>
      <w:tr>
        <w:trPr/>
        <w:tc>
          <w:tcPr>
            <w:tcW w:type="dxa" w:w="900"/>
            <w:tcMar>
              <w:top w:w="80" w:type="dxa"/>
              <w:start w:w="120" w:type="dxa"/>
              <w:bottom w:w="80" w:type="dxa"/>
              <w:end w:w="120" w:type="dxa"/>
            </w:tcMar>
            <w:vAlign w:val="center"/>
          </w:tcPr>
          <w:p>
            <w:pPr>
              <w:spacing w:after="0" w:line="252" w:lineRule="auto"/>
              <w:jc w:val="center"/>
            </w:pPr>
            <w:r>
              <w:rPr>
                <w:rFonts w:ascii="Calibri" w:hAnsi="Calibri"/>
                <w:color w:val="202020"/>
                <w:sz w:val="18"/>
              </w:rPr>
              <w:t>L1</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No</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No</w:t>
            </w:r>
          </w:p>
        </w:tc>
        <w:tc>
          <w:tcPr>
            <w:tcW w:type="dxa" w:w="2100"/>
            <w:tcMar>
              <w:top w:w="80" w:type="dxa"/>
              <w:start w:w="120" w:type="dxa"/>
              <w:bottom w:w="80" w:type="dxa"/>
              <w:end w:w="120" w:type="dxa"/>
            </w:tcMar>
            <w:vAlign w:val="center"/>
          </w:tcPr>
          <w:p>
            <w:pPr>
              <w:spacing w:after="0" w:line="252" w:lineRule="auto"/>
              <w:jc w:val="center"/>
            </w:pPr>
            <w:r>
              <w:rPr>
                <w:rFonts w:ascii="Calibri" w:hAnsi="Calibri"/>
                <w:color w:val="202020"/>
                <w:sz w:val="18"/>
              </w:rPr>
              <w:t>No</w:t>
            </w:r>
          </w:p>
        </w:tc>
        <w:tc>
          <w:tcPr>
            <w:tcW w:type="dxa" w:w="1000"/>
            <w:tcMar>
              <w:top w:w="80" w:type="dxa"/>
              <w:start w:w="120" w:type="dxa"/>
              <w:bottom w:w="80" w:type="dxa"/>
              <w:end w:w="120" w:type="dxa"/>
            </w:tcMar>
            <w:vAlign w:val="center"/>
          </w:tcPr>
          <w:p>
            <w:pPr>
              <w:spacing w:after="0" w:line="252" w:lineRule="auto"/>
              <w:jc w:val="center"/>
            </w:pPr>
            <w:r>
              <w:rPr>
                <w:rFonts w:ascii="Calibri" w:hAnsi="Calibri"/>
                <w:color w:val="202020"/>
                <w:sz w:val="18"/>
              </w:rPr>
              <w:t>Standard</w:t>
            </w:r>
          </w:p>
        </w:tc>
        <w:tc>
          <w:tcPr>
            <w:tcW w:type="dxa" w:w="3500"/>
            <w:tcMar>
              <w:top w:w="80" w:type="dxa"/>
              <w:start w:w="120" w:type="dxa"/>
              <w:bottom w:w="80" w:type="dxa"/>
              <w:end w:w="120" w:type="dxa"/>
            </w:tcMar>
            <w:vAlign w:val="center"/>
          </w:tcPr>
          <w:p>
            <w:pPr>
              <w:spacing w:after="0" w:line="252" w:lineRule="auto"/>
            </w:pPr>
            <w:r>
              <w:rPr>
                <w:rFonts w:ascii="Calibri" w:hAnsi="Calibri"/>
                <w:color w:val="202020"/>
                <w:sz w:val="18"/>
              </w:rPr>
              <w:t>Code-only baseline.</w:t>
            </w:r>
          </w:p>
        </w:tc>
      </w:tr>
      <w:tr>
        <w:trPr/>
        <w:tc>
          <w:tcPr>
            <w:tcW w:type="dxa" w:w="900"/>
            <w:tcMar>
              <w:top w:w="80" w:type="dxa"/>
              <w:start w:w="120" w:type="dxa"/>
              <w:bottom w:w="80" w:type="dxa"/>
              <w:end w:w="120" w:type="dxa"/>
            </w:tcMar>
            <w:vAlign w:val="center"/>
          </w:tcPr>
          <w:p>
            <w:pPr>
              <w:spacing w:after="0" w:line="252" w:lineRule="auto"/>
              <w:jc w:val="center"/>
            </w:pPr>
            <w:r>
              <w:rPr>
                <w:rFonts w:ascii="Calibri" w:hAnsi="Calibri"/>
                <w:color w:val="202020"/>
                <w:sz w:val="18"/>
              </w:rPr>
              <w:t>L2</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No</w:t>
            </w:r>
          </w:p>
        </w:tc>
        <w:tc>
          <w:tcPr>
            <w:tcW w:type="dxa" w:w="2100"/>
            <w:tcMar>
              <w:top w:w="80" w:type="dxa"/>
              <w:start w:w="120" w:type="dxa"/>
              <w:bottom w:w="80" w:type="dxa"/>
              <w:end w:w="120" w:type="dxa"/>
            </w:tcMar>
            <w:vAlign w:val="center"/>
          </w:tcPr>
          <w:p>
            <w:pPr>
              <w:spacing w:after="0" w:line="252" w:lineRule="auto"/>
            </w:pPr>
            <w:r>
              <w:rPr>
                <w:rFonts w:ascii="Calibri" w:hAnsi="Calibri"/>
                <w:color w:val="202020"/>
                <w:sz w:val="18"/>
              </w:rPr>
              <w:t>Static or gated without Q</w:t>
            </w:r>
          </w:p>
        </w:tc>
        <w:tc>
          <w:tcPr>
            <w:tcW w:type="dxa" w:w="1000"/>
            <w:tcMar>
              <w:top w:w="80" w:type="dxa"/>
              <w:start w:w="120" w:type="dxa"/>
              <w:bottom w:w="80" w:type="dxa"/>
              <w:end w:w="120" w:type="dxa"/>
            </w:tcMar>
            <w:vAlign w:val="center"/>
          </w:tcPr>
          <w:p>
            <w:pPr>
              <w:spacing w:after="0" w:line="252" w:lineRule="auto"/>
              <w:jc w:val="center"/>
            </w:pPr>
            <w:r>
              <w:rPr>
                <w:rFonts w:ascii="Calibri" w:hAnsi="Calibri"/>
                <w:color w:val="202020"/>
                <w:sz w:val="18"/>
              </w:rPr>
              <w:t>Standard</w:t>
            </w:r>
          </w:p>
        </w:tc>
        <w:tc>
          <w:tcPr>
            <w:tcW w:type="dxa" w:w="3500"/>
            <w:tcMar>
              <w:top w:w="80" w:type="dxa"/>
              <w:start w:w="120" w:type="dxa"/>
              <w:bottom w:w="80" w:type="dxa"/>
              <w:end w:w="120" w:type="dxa"/>
            </w:tcMar>
            <w:vAlign w:val="center"/>
          </w:tcPr>
          <w:p>
            <w:pPr>
              <w:spacing w:after="0" w:line="252" w:lineRule="auto"/>
            </w:pPr>
            <w:r>
              <w:rPr>
                <w:rFonts w:ascii="Calibri" w:hAnsi="Calibri"/>
                <w:color w:val="202020"/>
                <w:sz w:val="18"/>
              </w:rPr>
              <w:t>Measures the contribution of explanation embeddings.</w:t>
            </w:r>
          </w:p>
        </w:tc>
      </w:tr>
      <w:tr>
        <w:trPr/>
        <w:tc>
          <w:tcPr>
            <w:tcW w:type="dxa" w:w="900"/>
            <w:tcMar>
              <w:top w:w="80" w:type="dxa"/>
              <w:start w:w="120" w:type="dxa"/>
              <w:bottom w:w="80" w:type="dxa"/>
              <w:end w:w="120" w:type="dxa"/>
            </w:tcMar>
            <w:vAlign w:val="center"/>
          </w:tcPr>
          <w:p>
            <w:pPr>
              <w:spacing w:after="0" w:line="252" w:lineRule="auto"/>
              <w:jc w:val="center"/>
            </w:pPr>
            <w:r>
              <w:rPr>
                <w:rFonts w:ascii="Calibri" w:hAnsi="Calibri"/>
                <w:color w:val="202020"/>
                <w:sz w:val="18"/>
              </w:rPr>
              <w:t>L3 / Full</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2100"/>
            <w:tcMar>
              <w:top w:w="80" w:type="dxa"/>
              <w:start w:w="120" w:type="dxa"/>
              <w:bottom w:w="80" w:type="dxa"/>
              <w:end w:w="120" w:type="dxa"/>
            </w:tcMar>
            <w:vAlign w:val="center"/>
          </w:tcPr>
          <w:p>
            <w:pPr>
              <w:spacing w:after="0" w:line="252" w:lineRule="auto"/>
            </w:pPr>
            <w:r>
              <w:rPr>
                <w:rFonts w:ascii="Calibri" w:hAnsi="Calibri"/>
                <w:color w:val="202020"/>
                <w:sz w:val="18"/>
              </w:rPr>
              <w:t>Quality aware adaptive gated fusion</w:t>
            </w:r>
          </w:p>
        </w:tc>
        <w:tc>
          <w:tcPr>
            <w:tcW w:type="dxa" w:w="1000"/>
            <w:tcMar>
              <w:top w:w="80" w:type="dxa"/>
              <w:start w:w="120" w:type="dxa"/>
              <w:bottom w:w="80" w:type="dxa"/>
              <w:end w:w="120" w:type="dxa"/>
            </w:tcMar>
            <w:vAlign w:val="center"/>
          </w:tcPr>
          <w:p>
            <w:pPr>
              <w:spacing w:after="0" w:line="252" w:lineRule="auto"/>
              <w:jc w:val="center"/>
            </w:pPr>
            <w:r>
              <w:rPr>
                <w:rFonts w:ascii="Calibri" w:hAnsi="Calibri"/>
                <w:color w:val="202020"/>
                <w:sz w:val="18"/>
              </w:rPr>
              <w:t>Full</w:t>
            </w:r>
          </w:p>
        </w:tc>
        <w:tc>
          <w:tcPr>
            <w:tcW w:type="dxa" w:w="3500"/>
            <w:tcMar>
              <w:top w:w="80" w:type="dxa"/>
              <w:start w:w="120" w:type="dxa"/>
              <w:bottom w:w="80" w:type="dxa"/>
              <w:end w:w="120" w:type="dxa"/>
            </w:tcMar>
            <w:vAlign w:val="center"/>
          </w:tcPr>
          <w:p>
            <w:pPr>
              <w:spacing w:after="0" w:line="252" w:lineRule="auto"/>
            </w:pPr>
            <w:r>
              <w:rPr>
                <w:rFonts w:ascii="Calibri" w:hAnsi="Calibri"/>
                <w:color w:val="202020"/>
                <w:sz w:val="18"/>
              </w:rPr>
              <w:t>Complete SemanticVul configuration.</w:t>
            </w:r>
          </w:p>
        </w:tc>
      </w:tr>
      <w:tr>
        <w:trPr/>
        <w:tc>
          <w:tcPr>
            <w:tcW w:type="dxa" w:w="900"/>
            <w:tcMar>
              <w:top w:w="80" w:type="dxa"/>
              <w:start w:w="120" w:type="dxa"/>
              <w:bottom w:w="80" w:type="dxa"/>
              <w:end w:w="120" w:type="dxa"/>
            </w:tcMar>
            <w:vAlign w:val="center"/>
          </w:tcPr>
          <w:p>
            <w:pPr>
              <w:spacing w:after="0" w:line="252" w:lineRule="auto"/>
              <w:jc w:val="center"/>
            </w:pPr>
            <w:r>
              <w:rPr>
                <w:rFonts w:ascii="Calibri" w:hAnsi="Calibri"/>
                <w:color w:val="202020"/>
                <w:sz w:val="18"/>
              </w:rPr>
              <w:t>-Expl</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No</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2100"/>
            <w:tcMar>
              <w:top w:w="80" w:type="dxa"/>
              <w:start w:w="120" w:type="dxa"/>
              <w:bottom w:w="80" w:type="dxa"/>
              <w:end w:w="120" w:type="dxa"/>
            </w:tcMar>
            <w:vAlign w:val="center"/>
          </w:tcPr>
          <w:p>
            <w:pPr>
              <w:spacing w:after="0" w:line="252" w:lineRule="auto"/>
            </w:pPr>
            <w:r>
              <w:rPr>
                <w:rFonts w:ascii="Calibri" w:hAnsi="Calibri"/>
                <w:color w:val="202020"/>
                <w:sz w:val="18"/>
              </w:rPr>
              <w:t>No explanation channel</w:t>
            </w:r>
          </w:p>
        </w:tc>
        <w:tc>
          <w:tcPr>
            <w:tcW w:type="dxa" w:w="1000"/>
            <w:tcMar>
              <w:top w:w="80" w:type="dxa"/>
              <w:start w:w="120" w:type="dxa"/>
              <w:bottom w:w="80" w:type="dxa"/>
              <w:end w:w="120" w:type="dxa"/>
            </w:tcMar>
            <w:vAlign w:val="center"/>
          </w:tcPr>
          <w:p>
            <w:pPr>
              <w:spacing w:after="0" w:line="252" w:lineRule="auto"/>
              <w:jc w:val="center"/>
            </w:pPr>
            <w:r>
              <w:rPr>
                <w:rFonts w:ascii="Calibri" w:hAnsi="Calibri"/>
                <w:color w:val="202020"/>
                <w:sz w:val="18"/>
              </w:rPr>
              <w:t>Full</w:t>
            </w:r>
          </w:p>
        </w:tc>
        <w:tc>
          <w:tcPr>
            <w:tcW w:type="dxa" w:w="3500"/>
            <w:tcMar>
              <w:top w:w="80" w:type="dxa"/>
              <w:start w:w="120" w:type="dxa"/>
              <w:bottom w:w="80" w:type="dxa"/>
              <w:end w:w="120" w:type="dxa"/>
            </w:tcMar>
            <w:vAlign w:val="center"/>
          </w:tcPr>
          <w:p>
            <w:pPr>
              <w:spacing w:after="0" w:line="252" w:lineRule="auto"/>
            </w:pPr>
            <w:r>
              <w:rPr>
                <w:rFonts w:ascii="Calibri" w:hAnsi="Calibri"/>
                <w:color w:val="202020"/>
                <w:sz w:val="18"/>
              </w:rPr>
              <w:t>Leave-one-out: removes explanation embeddings.</w:t>
            </w:r>
          </w:p>
        </w:tc>
      </w:tr>
      <w:tr>
        <w:trPr/>
        <w:tc>
          <w:tcPr>
            <w:tcW w:type="dxa" w:w="900"/>
            <w:tcMar>
              <w:top w:w="80" w:type="dxa"/>
              <w:start w:w="120" w:type="dxa"/>
              <w:bottom w:w="80" w:type="dxa"/>
              <w:end w:w="120" w:type="dxa"/>
            </w:tcMar>
            <w:vAlign w:val="center"/>
          </w:tcPr>
          <w:p>
            <w:pPr>
              <w:spacing w:after="0" w:line="252" w:lineRule="auto"/>
              <w:jc w:val="center"/>
            </w:pPr>
            <w:r>
              <w:rPr>
                <w:rFonts w:ascii="Calibri" w:hAnsi="Calibri"/>
                <w:color w:val="202020"/>
                <w:sz w:val="18"/>
              </w:rPr>
              <w:t>-QF</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No</w:t>
            </w:r>
          </w:p>
        </w:tc>
        <w:tc>
          <w:tcPr>
            <w:tcW w:type="dxa" w:w="2100"/>
            <w:tcMar>
              <w:top w:w="80" w:type="dxa"/>
              <w:start w:w="120" w:type="dxa"/>
              <w:bottom w:w="80" w:type="dxa"/>
              <w:end w:w="120" w:type="dxa"/>
            </w:tcMar>
            <w:vAlign w:val="center"/>
          </w:tcPr>
          <w:p>
            <w:pPr>
              <w:spacing w:after="0" w:line="252" w:lineRule="auto"/>
            </w:pPr>
            <w:r>
              <w:rPr>
                <w:rFonts w:ascii="Calibri" w:hAnsi="Calibri"/>
                <w:color w:val="202020"/>
                <w:sz w:val="18"/>
              </w:rPr>
              <w:t>Fusion without quality features</w:t>
            </w:r>
          </w:p>
        </w:tc>
        <w:tc>
          <w:tcPr>
            <w:tcW w:type="dxa" w:w="1000"/>
            <w:tcMar>
              <w:top w:w="80" w:type="dxa"/>
              <w:start w:w="120" w:type="dxa"/>
              <w:bottom w:w="80" w:type="dxa"/>
              <w:end w:w="120" w:type="dxa"/>
            </w:tcMar>
            <w:vAlign w:val="center"/>
          </w:tcPr>
          <w:p>
            <w:pPr>
              <w:spacing w:after="0" w:line="252" w:lineRule="auto"/>
              <w:jc w:val="center"/>
            </w:pPr>
            <w:r>
              <w:rPr>
                <w:rFonts w:ascii="Calibri" w:hAnsi="Calibri"/>
                <w:color w:val="202020"/>
                <w:sz w:val="18"/>
              </w:rPr>
              <w:t>Full</w:t>
            </w:r>
          </w:p>
        </w:tc>
        <w:tc>
          <w:tcPr>
            <w:tcW w:type="dxa" w:w="3500"/>
            <w:tcMar>
              <w:top w:w="80" w:type="dxa"/>
              <w:start w:w="120" w:type="dxa"/>
              <w:bottom w:w="80" w:type="dxa"/>
              <w:end w:w="120" w:type="dxa"/>
            </w:tcMar>
            <w:vAlign w:val="center"/>
          </w:tcPr>
          <w:p>
            <w:pPr>
              <w:spacing w:after="0" w:line="252" w:lineRule="auto"/>
            </w:pPr>
            <w:r>
              <w:rPr>
                <w:rFonts w:ascii="Calibri" w:hAnsi="Calibri"/>
                <w:color w:val="202020"/>
                <w:sz w:val="18"/>
              </w:rPr>
              <w:t>Leave-one-out: removes quality features. Equivalent to L2 when the same fusion is used.</w:t>
            </w:r>
          </w:p>
        </w:tc>
      </w:tr>
      <w:tr>
        <w:trPr/>
        <w:tc>
          <w:tcPr>
            <w:tcW w:type="dxa" w:w="900"/>
            <w:tcMar>
              <w:top w:w="80" w:type="dxa"/>
              <w:start w:w="120" w:type="dxa"/>
              <w:bottom w:w="80" w:type="dxa"/>
              <w:end w:w="120" w:type="dxa"/>
            </w:tcMar>
            <w:vAlign w:val="center"/>
          </w:tcPr>
          <w:p>
            <w:pPr>
              <w:spacing w:after="0" w:line="252" w:lineRule="auto"/>
            </w:pPr>
            <w:r>
              <w:rPr>
                <w:rFonts w:ascii="Calibri" w:hAnsi="Calibri"/>
                <w:color w:val="202020"/>
                <w:sz w:val="18"/>
              </w:rPr>
              <w:t>Static fusion</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2100"/>
            <w:tcMar>
              <w:top w:w="80" w:type="dxa"/>
              <w:start w:w="120" w:type="dxa"/>
              <w:bottom w:w="80" w:type="dxa"/>
              <w:end w:w="120" w:type="dxa"/>
            </w:tcMar>
            <w:vAlign w:val="center"/>
          </w:tcPr>
          <w:p>
            <w:pPr>
              <w:spacing w:after="0" w:line="252" w:lineRule="auto"/>
            </w:pPr>
            <w:r>
              <w:rPr>
                <w:rFonts w:ascii="Calibri" w:hAnsi="Calibri"/>
                <w:color w:val="202020"/>
                <w:sz w:val="18"/>
              </w:rPr>
              <w:t>Concatenation or averaging</w:t>
            </w:r>
          </w:p>
        </w:tc>
        <w:tc>
          <w:tcPr>
            <w:tcW w:type="dxa" w:w="1000"/>
            <w:tcMar>
              <w:top w:w="80" w:type="dxa"/>
              <w:start w:w="120" w:type="dxa"/>
              <w:bottom w:w="80" w:type="dxa"/>
              <w:end w:w="120" w:type="dxa"/>
            </w:tcMar>
            <w:vAlign w:val="center"/>
          </w:tcPr>
          <w:p>
            <w:pPr>
              <w:spacing w:after="0" w:line="252" w:lineRule="auto"/>
              <w:jc w:val="center"/>
            </w:pPr>
            <w:r>
              <w:rPr>
                <w:rFonts w:ascii="Calibri" w:hAnsi="Calibri"/>
                <w:color w:val="202020"/>
                <w:sz w:val="18"/>
              </w:rPr>
              <w:t>Full</w:t>
            </w:r>
          </w:p>
        </w:tc>
        <w:tc>
          <w:tcPr>
            <w:tcW w:type="dxa" w:w="3500"/>
            <w:tcMar>
              <w:top w:w="80" w:type="dxa"/>
              <w:start w:w="120" w:type="dxa"/>
              <w:bottom w:w="80" w:type="dxa"/>
              <w:end w:w="120" w:type="dxa"/>
            </w:tcMar>
            <w:vAlign w:val="center"/>
          </w:tcPr>
          <w:p>
            <w:pPr>
              <w:spacing w:after="0" w:line="252" w:lineRule="auto"/>
            </w:pPr>
            <w:r>
              <w:rPr>
                <w:rFonts w:ascii="Calibri" w:hAnsi="Calibri"/>
                <w:color w:val="202020"/>
                <w:sz w:val="18"/>
              </w:rPr>
              <w:t>Tests whether adaptive gating improves over naive fusion.</w:t>
            </w:r>
          </w:p>
        </w:tc>
      </w:tr>
      <w:tr>
        <w:trPr/>
        <w:tc>
          <w:tcPr>
            <w:tcW w:type="dxa" w:w="900"/>
            <w:tcMar>
              <w:top w:w="80" w:type="dxa"/>
              <w:start w:w="120" w:type="dxa"/>
              <w:bottom w:w="80" w:type="dxa"/>
              <w:end w:w="120" w:type="dxa"/>
            </w:tcMar>
            <w:vAlign w:val="center"/>
          </w:tcPr>
          <w:p>
            <w:pPr>
              <w:spacing w:after="0" w:line="252" w:lineRule="auto"/>
            </w:pPr>
            <w:r>
              <w:rPr>
                <w:rFonts w:ascii="Calibri" w:hAnsi="Calibri"/>
                <w:color w:val="202020"/>
                <w:sz w:val="18"/>
              </w:rPr>
              <w:t>Explanation only</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No</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Optional</w:t>
            </w:r>
          </w:p>
        </w:tc>
        <w:tc>
          <w:tcPr>
            <w:tcW w:type="dxa" w:w="2100"/>
            <w:tcMar>
              <w:top w:w="80" w:type="dxa"/>
              <w:start w:w="120" w:type="dxa"/>
              <w:bottom w:w="80" w:type="dxa"/>
              <w:end w:w="120" w:type="dxa"/>
            </w:tcMar>
            <w:vAlign w:val="center"/>
          </w:tcPr>
          <w:p>
            <w:pPr>
              <w:spacing w:after="0" w:line="252" w:lineRule="auto"/>
            </w:pPr>
            <w:r>
              <w:rPr>
                <w:rFonts w:ascii="Calibri" w:hAnsi="Calibri"/>
                <w:color w:val="202020"/>
                <w:sz w:val="18"/>
              </w:rPr>
              <w:t>Single modality</w:t>
            </w:r>
          </w:p>
        </w:tc>
        <w:tc>
          <w:tcPr>
            <w:tcW w:type="dxa" w:w="1000"/>
            <w:tcMar>
              <w:top w:w="80" w:type="dxa"/>
              <w:start w:w="120" w:type="dxa"/>
              <w:bottom w:w="80" w:type="dxa"/>
              <w:end w:w="120" w:type="dxa"/>
            </w:tcMar>
            <w:vAlign w:val="center"/>
          </w:tcPr>
          <w:p>
            <w:pPr>
              <w:spacing w:after="0" w:line="252" w:lineRule="auto"/>
              <w:jc w:val="center"/>
            </w:pPr>
            <w:r>
              <w:rPr>
                <w:rFonts w:ascii="Calibri" w:hAnsi="Calibri"/>
                <w:color w:val="202020"/>
                <w:sz w:val="18"/>
              </w:rPr>
              <w:t>Standard</w:t>
            </w:r>
          </w:p>
        </w:tc>
        <w:tc>
          <w:tcPr>
            <w:tcW w:type="dxa" w:w="3500"/>
            <w:tcMar>
              <w:top w:w="80" w:type="dxa"/>
              <w:start w:w="120" w:type="dxa"/>
              <w:bottom w:w="80" w:type="dxa"/>
              <w:end w:w="120" w:type="dxa"/>
            </w:tcMar>
            <w:vAlign w:val="center"/>
          </w:tcPr>
          <w:p>
            <w:pPr>
              <w:spacing w:after="0" w:line="252" w:lineRule="auto"/>
            </w:pPr>
            <w:r>
              <w:rPr>
                <w:rFonts w:ascii="Calibri" w:hAnsi="Calibri"/>
                <w:color w:val="202020"/>
                <w:sz w:val="18"/>
              </w:rPr>
              <w:t>Tests whether explanations alone carry predictive signal.</w:t>
            </w:r>
          </w:p>
        </w:tc>
      </w:tr>
      <w:tr>
        <w:trPr/>
        <w:tc>
          <w:tcPr>
            <w:tcW w:type="dxa" w:w="900"/>
            <w:tcMar>
              <w:top w:w="80" w:type="dxa"/>
              <w:start w:w="120" w:type="dxa"/>
              <w:bottom w:w="80" w:type="dxa"/>
              <w:end w:w="120" w:type="dxa"/>
            </w:tcMar>
            <w:vAlign w:val="center"/>
          </w:tcPr>
          <w:p>
            <w:pPr>
              <w:spacing w:after="0" w:line="252" w:lineRule="auto"/>
            </w:pPr>
            <w:r>
              <w:rPr>
                <w:rFonts w:ascii="Calibri" w:hAnsi="Calibri"/>
                <w:color w:val="202020"/>
                <w:sz w:val="18"/>
              </w:rPr>
              <w:t>Classical cached features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Yes</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No</w:t>
            </w:r>
          </w:p>
        </w:tc>
        <w:tc>
          <w:tcPr>
            <w:tcW w:type="dxa" w:w="620"/>
            <w:tcMar>
              <w:top w:w="80" w:type="dxa"/>
              <w:start w:w="120" w:type="dxa"/>
              <w:bottom w:w="80" w:type="dxa"/>
              <w:end w:w="120" w:type="dxa"/>
            </w:tcMar>
            <w:vAlign w:val="center"/>
          </w:tcPr>
          <w:p>
            <w:pPr>
              <w:spacing w:after="0" w:line="252" w:lineRule="auto"/>
              <w:jc w:val="center"/>
            </w:pPr>
            <w:r>
              <w:rPr>
                <w:rFonts w:ascii="Calibri" w:hAnsi="Calibri"/>
                <w:color w:val="202020"/>
                <w:sz w:val="18"/>
              </w:rPr>
              <w:t>Optional</w:t>
            </w:r>
          </w:p>
        </w:tc>
        <w:tc>
          <w:tcPr>
            <w:tcW w:type="dxa" w:w="2100"/>
            <w:tcMar>
              <w:top w:w="80" w:type="dxa"/>
              <w:start w:w="120" w:type="dxa"/>
              <w:bottom w:w="80" w:type="dxa"/>
              <w:end w:w="120" w:type="dxa"/>
            </w:tcMar>
            <w:vAlign w:val="center"/>
          </w:tcPr>
          <w:p>
            <w:pPr>
              <w:spacing w:after="0" w:line="252" w:lineRule="auto"/>
            </w:pPr>
            <w:r>
              <w:rPr>
                <w:rFonts w:ascii="Calibri" w:hAnsi="Calibri"/>
                <w:color w:val="202020"/>
                <w:sz w:val="18"/>
              </w:rPr>
              <w:t>Classical ML classifier</w:t>
            </w:r>
          </w:p>
        </w:tc>
        <w:tc>
          <w:tcPr>
            <w:tcW w:type="dxa" w:w="1000"/>
            <w:tcMar>
              <w:top w:w="80" w:type="dxa"/>
              <w:start w:w="120" w:type="dxa"/>
              <w:bottom w:w="80" w:type="dxa"/>
              <w:end w:w="120" w:type="dxa"/>
            </w:tcMar>
            <w:vAlign w:val="center"/>
          </w:tcPr>
          <w:p>
            <w:pPr>
              <w:spacing w:after="0" w:line="252" w:lineRule="auto"/>
              <w:jc w:val="center"/>
            </w:pPr>
            <w:r>
              <w:rPr>
                <w:rFonts w:ascii="Calibri" w:hAnsi="Calibri"/>
                <w:color w:val="202020"/>
                <w:sz w:val="18"/>
              </w:rPr>
              <w:t>Standard</w:t>
            </w:r>
          </w:p>
        </w:tc>
        <w:tc>
          <w:tcPr>
            <w:tcW w:type="dxa" w:w="3500"/>
            <w:tcMar>
              <w:top w:w="80" w:type="dxa"/>
              <w:start w:w="120" w:type="dxa"/>
              <w:bottom w:w="80" w:type="dxa"/>
              <w:end w:w="120" w:type="dxa"/>
            </w:tcMar>
            <w:vAlign w:val="center"/>
          </w:tcPr>
          <w:p>
            <w:pPr>
              <w:spacing w:after="0" w:line="252" w:lineRule="auto"/>
            </w:pPr>
            <w:r>
              <w:rPr>
                <w:rFonts w:ascii="Calibri" w:hAnsi="Calibri"/>
                <w:color w:val="202020"/>
                <w:sz w:val="18"/>
              </w:rPr>
              <w:t>Lightweight non-neural baseline over cached representations.</w:t>
            </w:r>
          </w:p>
        </w:tc>
      </w:tr>
    </w:tbl>
    <w:p>
      <w:pPr>
        <w:spacing w:after="80"/>
      </w:pPr>
    </w:p>
    <w:p>
      <w:pPr>
        <w:pStyle w:val="Heading1"/>
      </w:pPr>
      <w:r>
        <w:t>6. Explanation-Specific Ablations</w:t>
      </w:r>
    </w:p>
    <w:p>
      <w:pPr>
        <w:spacing w:before="0" w:after="120" w:line="264" w:lineRule="auto"/>
      </w:pPr>
      <w:r>
        <w:rPr>
          <w:rFonts w:ascii="Calibri" w:hAnsi="Calibri"/>
          <w:b w:val="0"/>
          <w:color w:val="202020"/>
          <w:sz w:val="22"/>
        </w:rPr>
        <w:t>The explanation ablations are tied to RO 01. They test whether explanation structure and leakage control are doing meaningful work, rather than assuming that any LLM explanation is beneficial.</w:t>
      </w:r>
    </w:p>
    <w:tbl>
      <w:tblPr>
        <w:tblStyle w:val="TableGrid"/>
        <w:tblW w:type="dxa" w:w="9360"/>
        <w:tblLayout w:type="fixed"/>
        <w:tblLook w:firstColumn="1" w:firstRow="1" w:lastColumn="0" w:lastRow="0" w:noHBand="0" w:noVBand="1" w:val="04A0"/>
        <w:tblInd w:w="120" w:type="dxa"/>
      </w:tblPr>
      <w:tblGrid>
        <w:gridCol w:w="2200"/>
        <w:gridCol w:w="4100"/>
        <w:gridCol w:w="3060"/>
      </w:tblGrid>
      <w:tr>
        <w:trPr/>
        <w:tc>
          <w:tcPr>
            <w:tcW w:type="dxa" w:w="2200"/>
            <w:shd w:fill="F2F4F7"/>
            <w:tcMar>
              <w:top w:w="80" w:type="dxa"/>
              <w:start w:w="120" w:type="dxa"/>
              <w:bottom w:w="80" w:type="dxa"/>
              <w:end w:w="120" w:type="dxa"/>
            </w:tcMar>
            <w:vAlign w:val="center"/>
          </w:tcPr>
          <w:p>
            <w:pPr>
              <w:spacing w:after="0"/>
              <w:jc w:val="center"/>
            </w:pPr>
            <w:r>
              <w:rPr>
                <w:rFonts w:ascii="Calibri" w:hAnsi="Calibri"/>
                <w:b/>
                <w:color w:val="202020"/>
                <w:sz w:val="19"/>
              </w:rPr>
              <w:t>Variant</w:t>
            </w:r>
          </w:p>
        </w:tc>
        <w:tc>
          <w:tcPr>
            <w:tcW w:type="dxa" w:w="4100"/>
            <w:shd w:fill="F2F4F7"/>
            <w:tcMar>
              <w:top w:w="80" w:type="dxa"/>
              <w:start w:w="120" w:type="dxa"/>
              <w:bottom w:w="80" w:type="dxa"/>
              <w:end w:w="120" w:type="dxa"/>
            </w:tcMar>
            <w:vAlign w:val="center"/>
          </w:tcPr>
          <w:p>
            <w:pPr>
              <w:spacing w:after="0"/>
              <w:jc w:val="center"/>
            </w:pPr>
            <w:r>
              <w:rPr>
                <w:rFonts w:ascii="Calibri" w:hAnsi="Calibri"/>
                <w:b/>
                <w:color w:val="202020"/>
                <w:sz w:val="19"/>
              </w:rPr>
              <w:t>Change from full pipeline</w:t>
            </w:r>
          </w:p>
        </w:tc>
        <w:tc>
          <w:tcPr>
            <w:tcW w:type="dxa" w:w="3060"/>
            <w:shd w:fill="F2F4F7"/>
            <w:tcMar>
              <w:top w:w="80" w:type="dxa"/>
              <w:start w:w="120" w:type="dxa"/>
              <w:bottom w:w="80" w:type="dxa"/>
              <w:end w:w="120" w:type="dxa"/>
            </w:tcMar>
            <w:vAlign w:val="center"/>
          </w:tcPr>
          <w:p>
            <w:pPr>
              <w:spacing w:after="0"/>
              <w:jc w:val="center"/>
            </w:pPr>
            <w:r>
              <w:rPr>
                <w:rFonts w:ascii="Calibri" w:hAnsi="Calibri"/>
                <w:b/>
                <w:color w:val="202020"/>
                <w:sz w:val="19"/>
              </w:rPr>
              <w:t>Purpose</w:t>
            </w:r>
          </w:p>
        </w:tc>
      </w:tr>
      <w:tr>
        <w:trPr/>
        <w:tc>
          <w:tcPr>
            <w:tcW w:type="dxa" w:w="2200"/>
            <w:tcMar>
              <w:top w:w="80" w:type="dxa"/>
              <w:start w:w="120" w:type="dxa"/>
              <w:bottom w:w="80" w:type="dxa"/>
              <w:end w:w="120" w:type="dxa"/>
            </w:tcMar>
            <w:vAlign w:val="center"/>
          </w:tcPr>
          <w:p>
            <w:pPr>
              <w:spacing w:after="0" w:line="252" w:lineRule="auto"/>
            </w:pPr>
            <w:r>
              <w:rPr>
                <w:rFonts w:ascii="Calibri" w:hAnsi="Calibri"/>
                <w:color w:val="202020"/>
                <w:sz w:val="18"/>
              </w:rPr>
              <w:t>Full explanation pipeline</w:t>
            </w:r>
          </w:p>
        </w:tc>
        <w:tc>
          <w:tcPr>
            <w:tcW w:type="dxa" w:w="4100"/>
            <w:tcMar>
              <w:top w:w="80" w:type="dxa"/>
              <w:start w:w="120" w:type="dxa"/>
              <w:bottom w:w="80" w:type="dxa"/>
              <w:end w:w="120" w:type="dxa"/>
            </w:tcMar>
            <w:vAlign w:val="center"/>
          </w:tcPr>
          <w:p>
            <w:pPr>
              <w:spacing w:after="0" w:line="252" w:lineRule="auto"/>
            </w:pPr>
            <w:r>
              <w:rPr>
                <w:rFonts w:ascii="Calibri" w:hAnsi="Calibri"/>
                <w:color w:val="202020"/>
                <w:sz w:val="18"/>
              </w:rPr>
              <w:t>Structured JSON, verdict scrubbed, evidence grounded.</w:t>
            </w:r>
          </w:p>
        </w:tc>
        <w:tc>
          <w:tcPr>
            <w:tcW w:type="dxa" w:w="3060"/>
            <w:tcMar>
              <w:top w:w="80" w:type="dxa"/>
              <w:start w:w="120" w:type="dxa"/>
              <w:bottom w:w="80" w:type="dxa"/>
              <w:end w:w="120" w:type="dxa"/>
            </w:tcMar>
            <w:vAlign w:val="center"/>
          </w:tcPr>
          <w:p>
            <w:pPr>
              <w:spacing w:after="0" w:line="252" w:lineRule="auto"/>
            </w:pPr>
            <w:r>
              <w:rPr>
                <w:rFonts w:ascii="Calibri" w:hAnsi="Calibri"/>
                <w:color w:val="202020"/>
                <w:sz w:val="18"/>
              </w:rPr>
              <w:t>Reference configuration for RO 01.</w:t>
            </w:r>
          </w:p>
        </w:tc>
      </w:tr>
      <w:tr>
        <w:trPr/>
        <w:tc>
          <w:tcPr>
            <w:tcW w:type="dxa" w:w="2200"/>
            <w:tcMar>
              <w:top w:w="80" w:type="dxa"/>
              <w:start w:w="120" w:type="dxa"/>
              <w:bottom w:w="80" w:type="dxa"/>
              <w:end w:w="120" w:type="dxa"/>
            </w:tcMar>
            <w:vAlign w:val="center"/>
          </w:tcPr>
          <w:p>
            <w:pPr>
              <w:spacing w:after="0" w:line="252" w:lineRule="auto"/>
            </w:pPr>
            <w:r>
              <w:rPr>
                <w:rFonts w:ascii="Calibri" w:hAnsi="Calibri"/>
                <w:color w:val="202020"/>
                <w:sz w:val="18"/>
              </w:rPr>
              <w:t>Free form explanation</w:t>
            </w:r>
          </w:p>
        </w:tc>
        <w:tc>
          <w:tcPr>
            <w:tcW w:type="dxa" w:w="4100"/>
            <w:tcMar>
              <w:top w:w="80" w:type="dxa"/>
              <w:start w:w="120" w:type="dxa"/>
              <w:bottom w:w="80" w:type="dxa"/>
              <w:end w:w="120" w:type="dxa"/>
            </w:tcMar>
            <w:vAlign w:val="center"/>
          </w:tcPr>
          <w:p>
            <w:pPr>
              <w:spacing w:after="0" w:line="252" w:lineRule="auto"/>
            </w:pPr>
            <w:r>
              <w:rPr>
                <w:rFonts w:ascii="Calibri" w:hAnsi="Calibri"/>
                <w:color w:val="202020"/>
                <w:sz w:val="18"/>
              </w:rPr>
              <w:t>Replace structured JSON explanation with FuSEVul style free form LLM explanation.</w:t>
            </w:r>
          </w:p>
        </w:tc>
        <w:tc>
          <w:tcPr>
            <w:tcW w:type="dxa" w:w="3060"/>
            <w:tcMar>
              <w:top w:w="80" w:type="dxa"/>
              <w:start w:w="120" w:type="dxa"/>
              <w:bottom w:w="80" w:type="dxa"/>
              <w:end w:w="120" w:type="dxa"/>
            </w:tcMar>
            <w:vAlign w:val="center"/>
          </w:tcPr>
          <w:p>
            <w:pPr>
              <w:spacing w:after="0" w:line="252" w:lineRule="auto"/>
            </w:pPr>
            <w:r>
              <w:rPr>
                <w:rFonts w:ascii="Calibri" w:hAnsi="Calibri"/>
                <w:color w:val="202020"/>
                <w:sz w:val="18"/>
              </w:rPr>
              <w:t>Tests structured output against free form explanation.</w:t>
            </w:r>
          </w:p>
        </w:tc>
      </w:tr>
      <w:tr>
        <w:trPr/>
        <w:tc>
          <w:tcPr>
            <w:tcW w:type="dxa" w:w="2200"/>
            <w:tcMar>
              <w:top w:w="80" w:type="dxa"/>
              <w:start w:w="120" w:type="dxa"/>
              <w:bottom w:w="80" w:type="dxa"/>
              <w:end w:w="120" w:type="dxa"/>
            </w:tcMar>
            <w:vAlign w:val="center"/>
          </w:tcPr>
          <w:p>
            <w:pPr>
              <w:spacing w:after="0" w:line="252" w:lineRule="auto"/>
            </w:pPr>
            <w:r>
              <w:rPr>
                <w:rFonts w:ascii="Calibri" w:hAnsi="Calibri"/>
                <w:color w:val="202020"/>
                <w:sz w:val="18"/>
              </w:rPr>
              <w:t>No verdict scrubbing</w:t>
            </w:r>
          </w:p>
        </w:tc>
        <w:tc>
          <w:tcPr>
            <w:tcW w:type="dxa" w:w="4100"/>
            <w:tcMar>
              <w:top w:w="80" w:type="dxa"/>
              <w:start w:w="120" w:type="dxa"/>
              <w:bottom w:w="80" w:type="dxa"/>
              <w:end w:w="120" w:type="dxa"/>
            </w:tcMar>
            <w:vAlign w:val="center"/>
          </w:tcPr>
          <w:p>
            <w:pPr>
              <w:spacing w:after="0" w:line="252" w:lineRule="auto"/>
            </w:pPr>
            <w:r>
              <w:rPr>
                <w:rFonts w:ascii="Calibri" w:hAnsi="Calibri"/>
                <w:color w:val="202020"/>
                <w:sz w:val="18"/>
              </w:rPr>
              <w:t>Generate or use explanations without verdict scrubbing.</w:t>
            </w:r>
          </w:p>
        </w:tc>
        <w:tc>
          <w:tcPr>
            <w:tcW w:type="dxa" w:w="3060"/>
            <w:tcMar>
              <w:top w:w="80" w:type="dxa"/>
              <w:start w:w="120" w:type="dxa"/>
              <w:bottom w:w="80" w:type="dxa"/>
              <w:end w:w="120" w:type="dxa"/>
            </w:tcMar>
            <w:vAlign w:val="center"/>
          </w:tcPr>
          <w:p>
            <w:pPr>
              <w:spacing w:after="0" w:line="252" w:lineRule="auto"/>
            </w:pPr>
            <w:r>
              <w:rPr>
                <w:rFonts w:ascii="Calibri" w:hAnsi="Calibri"/>
                <w:color w:val="202020"/>
                <w:sz w:val="18"/>
              </w:rPr>
              <w:t>Measures explanation leakage rate and its effect on downstream detection.</w:t>
            </w:r>
          </w:p>
        </w:tc>
      </w:tr>
      <w:tr>
        <w:trPr/>
        <w:tc>
          <w:tcPr>
            <w:tcW w:type="dxa" w:w="2200"/>
            <w:tcMar>
              <w:top w:w="80" w:type="dxa"/>
              <w:start w:w="120" w:type="dxa"/>
              <w:bottom w:w="80" w:type="dxa"/>
              <w:end w:w="120" w:type="dxa"/>
            </w:tcMar>
            <w:vAlign w:val="center"/>
          </w:tcPr>
          <w:p>
            <w:pPr>
              <w:spacing w:after="0" w:line="252" w:lineRule="auto"/>
            </w:pPr>
            <w:r>
              <w:rPr>
                <w:rFonts w:ascii="Calibri" w:hAnsi="Calibri"/>
                <w:color w:val="202020"/>
                <w:sz w:val="18"/>
              </w:rPr>
              <w:t>No evidence grounding</w:t>
            </w:r>
          </w:p>
        </w:tc>
        <w:tc>
          <w:tcPr>
            <w:tcW w:type="dxa" w:w="4100"/>
            <w:tcMar>
              <w:top w:w="80" w:type="dxa"/>
              <w:start w:w="120" w:type="dxa"/>
              <w:bottom w:w="80" w:type="dxa"/>
              <w:end w:w="120" w:type="dxa"/>
            </w:tcMar>
            <w:vAlign w:val="center"/>
          </w:tcPr>
          <w:p>
            <w:pPr>
              <w:spacing w:after="0" w:line="252" w:lineRule="auto"/>
            </w:pPr>
            <w:r>
              <w:rPr>
                <w:rFonts w:ascii="Calibri" w:hAnsi="Calibri"/>
                <w:color w:val="202020"/>
                <w:sz w:val="18"/>
              </w:rPr>
              <w:t>Remove evidence token grounding from the explanation pipeline.</w:t>
            </w:r>
          </w:p>
        </w:tc>
        <w:tc>
          <w:tcPr>
            <w:tcW w:type="dxa" w:w="3060"/>
            <w:tcMar>
              <w:top w:w="80" w:type="dxa"/>
              <w:start w:w="120" w:type="dxa"/>
              <w:bottom w:w="80" w:type="dxa"/>
              <w:end w:w="120" w:type="dxa"/>
            </w:tcMar>
            <w:vAlign w:val="center"/>
          </w:tcPr>
          <w:p>
            <w:pPr>
              <w:spacing w:after="0" w:line="252" w:lineRule="auto"/>
            </w:pPr>
            <w:r>
              <w:rPr>
                <w:rFonts w:ascii="Calibri" w:hAnsi="Calibri"/>
                <w:color w:val="202020"/>
                <w:sz w:val="18"/>
              </w:rPr>
              <w:t>Measures faithfulness and grounding contribution.</w:t>
            </w:r>
          </w:p>
        </w:tc>
      </w:tr>
      <w:tr>
        <w:trPr/>
        <w:tc>
          <w:tcPr>
            <w:tcW w:type="dxa" w:w="2200"/>
            <w:tcMar>
              <w:top w:w="80" w:type="dxa"/>
              <w:start w:w="120" w:type="dxa"/>
              <w:bottom w:w="80" w:type="dxa"/>
              <w:end w:w="120" w:type="dxa"/>
            </w:tcMar>
            <w:vAlign w:val="center"/>
          </w:tcPr>
          <w:p>
            <w:pPr>
              <w:spacing w:after="0" w:line="252" w:lineRule="auto"/>
            </w:pPr>
            <w:r>
              <w:rPr>
                <w:rFonts w:ascii="Calibri" w:hAnsi="Calibri"/>
                <w:color w:val="202020"/>
                <w:sz w:val="18"/>
              </w:rPr>
              <w:t>No quality scoring</w:t>
            </w:r>
          </w:p>
        </w:tc>
        <w:tc>
          <w:tcPr>
            <w:tcW w:type="dxa" w:w="4100"/>
            <w:tcMar>
              <w:top w:w="80" w:type="dxa"/>
              <w:start w:w="120" w:type="dxa"/>
              <w:bottom w:w="80" w:type="dxa"/>
              <w:end w:w="120" w:type="dxa"/>
            </w:tcMar>
            <w:vAlign w:val="center"/>
          </w:tcPr>
          <w:p>
            <w:pPr>
              <w:spacing w:after="0" w:line="252" w:lineRule="auto"/>
            </w:pPr>
            <w:r>
              <w:rPr>
                <w:rFonts w:ascii="Calibri" w:hAnsi="Calibri"/>
                <w:color w:val="202020"/>
                <w:sz w:val="18"/>
              </w:rPr>
              <w:t>Keep explanation text but remove label free quality features from fusion.</w:t>
            </w:r>
          </w:p>
        </w:tc>
        <w:tc>
          <w:tcPr>
            <w:tcW w:type="dxa" w:w="3060"/>
            <w:tcMar>
              <w:top w:w="80" w:type="dxa"/>
              <w:start w:w="120" w:type="dxa"/>
              <w:bottom w:w="80" w:type="dxa"/>
              <w:end w:w="120" w:type="dxa"/>
            </w:tcMar>
            <w:vAlign w:val="center"/>
          </w:tcPr>
          <w:p>
            <w:pPr>
              <w:spacing w:after="0" w:line="252" w:lineRule="auto"/>
            </w:pPr>
            <w:r>
              <w:rPr>
                <w:rFonts w:ascii="Calibri" w:hAnsi="Calibri"/>
                <w:color w:val="202020"/>
                <w:sz w:val="18"/>
              </w:rPr>
              <w:t>Tests whether quality estimates add signal beyond the explanation embedding.</w:t>
            </w:r>
          </w:p>
        </w:tc>
      </w:tr>
    </w:tbl>
    <w:p>
      <w:pPr>
        <w:spacing w:after="80"/>
      </w:pPr>
    </w:p>
    <w:p>
      <w:pPr>
        <w:pStyle w:val="Heading1"/>
      </w:pPr>
      <w:r>
        <w:t>7. Imbalance and Threshold Ablations</w:t>
      </w:r>
    </w:p>
    <w:p>
      <w:pPr>
        <w:spacing w:before="0" w:after="120" w:line="264" w:lineRule="auto"/>
      </w:pPr>
      <w:r>
        <w:rPr>
          <w:rFonts w:ascii="Calibri" w:hAnsi="Calibri"/>
          <w:b w:val="0"/>
          <w:color w:val="202020"/>
          <w:sz w:val="22"/>
        </w:rPr>
        <w:t>The imbalance ablations are tied to RO 04. They will be run as controlled variants so the report can separate the effect of the loss function, class weighting, threshold selection, and ensembling.</w:t>
      </w:r>
    </w:p>
    <w:tbl>
      <w:tblPr>
        <w:tblStyle w:val="TableGrid"/>
        <w:tblW w:type="dxa" w:w="9360"/>
        <w:tblLayout w:type="fixed"/>
        <w:tblLook w:firstColumn="1" w:firstRow="1" w:lastColumn="0" w:lastRow="0" w:noHBand="0" w:noVBand="1" w:val="04A0"/>
        <w:tblInd w:w="120" w:type="dxa"/>
      </w:tblPr>
      <w:tblGrid>
        <w:gridCol w:w="2300"/>
        <w:gridCol w:w="3900"/>
        <w:gridCol w:w="3160"/>
      </w:tblGrid>
      <w:tr>
        <w:trPr/>
        <w:tc>
          <w:tcPr>
            <w:tcW w:type="dxa" w:w="2300"/>
            <w:shd w:fill="F2F4F7"/>
            <w:tcMar>
              <w:top w:w="80" w:type="dxa"/>
              <w:start w:w="120" w:type="dxa"/>
              <w:bottom w:w="80" w:type="dxa"/>
              <w:end w:w="120" w:type="dxa"/>
            </w:tcMar>
            <w:vAlign w:val="center"/>
          </w:tcPr>
          <w:p>
            <w:pPr>
              <w:spacing w:after="0"/>
              <w:jc w:val="center"/>
            </w:pPr>
            <w:r>
              <w:rPr>
                <w:rFonts w:ascii="Calibri" w:hAnsi="Calibri"/>
                <w:b/>
                <w:color w:val="202020"/>
                <w:sz w:val="19"/>
              </w:rPr>
              <w:t>Variant</w:t>
            </w:r>
          </w:p>
        </w:tc>
        <w:tc>
          <w:tcPr>
            <w:tcW w:type="dxa" w:w="3900"/>
            <w:shd w:fill="F2F4F7"/>
            <w:tcMar>
              <w:top w:w="80" w:type="dxa"/>
              <w:start w:w="120" w:type="dxa"/>
              <w:bottom w:w="80" w:type="dxa"/>
              <w:end w:w="120" w:type="dxa"/>
            </w:tcMar>
            <w:vAlign w:val="center"/>
          </w:tcPr>
          <w:p>
            <w:pPr>
              <w:spacing w:after="0"/>
              <w:jc w:val="center"/>
            </w:pPr>
            <w:r>
              <w:rPr>
                <w:rFonts w:ascii="Calibri" w:hAnsi="Calibri"/>
                <w:b/>
                <w:color w:val="202020"/>
                <w:sz w:val="19"/>
              </w:rPr>
              <w:t>Definition</w:t>
            </w:r>
          </w:p>
        </w:tc>
        <w:tc>
          <w:tcPr>
            <w:tcW w:type="dxa" w:w="3160"/>
            <w:shd w:fill="F2F4F7"/>
            <w:tcMar>
              <w:top w:w="80" w:type="dxa"/>
              <w:start w:w="120" w:type="dxa"/>
              <w:bottom w:w="80" w:type="dxa"/>
              <w:end w:w="120" w:type="dxa"/>
            </w:tcMar>
            <w:vAlign w:val="center"/>
          </w:tcPr>
          <w:p>
            <w:pPr>
              <w:spacing w:after="0"/>
              <w:jc w:val="center"/>
            </w:pPr>
            <w:r>
              <w:rPr>
                <w:rFonts w:ascii="Calibri" w:hAnsi="Calibri"/>
                <w:b/>
                <w:color w:val="202020"/>
                <w:sz w:val="19"/>
              </w:rPr>
              <w:t>Purpose</w:t>
            </w:r>
          </w:p>
        </w:tc>
      </w:tr>
      <w:tr>
        <w:trPr/>
        <w:tc>
          <w:tcPr>
            <w:tcW w:type="dxa" w:w="2300"/>
            <w:tcMar>
              <w:top w:w="80" w:type="dxa"/>
              <w:start w:w="120" w:type="dxa"/>
              <w:bottom w:w="80" w:type="dxa"/>
              <w:end w:w="120" w:type="dxa"/>
            </w:tcMar>
            <w:vAlign w:val="center"/>
          </w:tcPr>
          <w:p>
            <w:pPr>
              <w:spacing w:after="0" w:line="252" w:lineRule="auto"/>
            </w:pPr>
            <w:r>
              <w:rPr>
                <w:rFonts w:ascii="Calibri" w:hAnsi="Calibri"/>
                <w:color w:val="202020"/>
                <w:sz w:val="18"/>
              </w:rPr>
              <w:t>Base training</w:t>
            </w:r>
          </w:p>
        </w:tc>
        <w:tc>
          <w:tcPr>
            <w:tcW w:type="dxa" w:w="3900"/>
            <w:tcMar>
              <w:top w:w="80" w:type="dxa"/>
              <w:start w:w="120" w:type="dxa"/>
              <w:bottom w:w="80" w:type="dxa"/>
              <w:end w:w="120" w:type="dxa"/>
            </w:tcMar>
            <w:vAlign w:val="center"/>
          </w:tcPr>
          <w:p>
            <w:pPr>
              <w:spacing w:after="0" w:line="252" w:lineRule="auto"/>
            </w:pPr>
            <w:r>
              <w:rPr>
                <w:rFonts w:ascii="Calibri" w:hAnsi="Calibri"/>
                <w:color w:val="202020"/>
                <w:sz w:val="18"/>
              </w:rPr>
              <w:t>Standard loss, fixed threshold, single seed.</w:t>
            </w:r>
          </w:p>
        </w:tc>
        <w:tc>
          <w:tcPr>
            <w:tcW w:type="dxa" w:w="3160"/>
            <w:tcMar>
              <w:top w:w="80" w:type="dxa"/>
              <w:start w:w="120" w:type="dxa"/>
              <w:bottom w:w="80" w:type="dxa"/>
              <w:end w:w="120" w:type="dxa"/>
            </w:tcMar>
            <w:vAlign w:val="center"/>
          </w:tcPr>
          <w:p>
            <w:pPr>
              <w:spacing w:after="0" w:line="252" w:lineRule="auto"/>
            </w:pPr>
            <w:r>
              <w:rPr>
                <w:rFonts w:ascii="Calibri" w:hAnsi="Calibri"/>
                <w:color w:val="202020"/>
                <w:sz w:val="18"/>
              </w:rPr>
              <w:t>Reference for the imbalance study.</w:t>
            </w:r>
          </w:p>
        </w:tc>
      </w:tr>
      <w:tr>
        <w:trPr/>
        <w:tc>
          <w:tcPr>
            <w:tcW w:type="dxa" w:w="2300"/>
            <w:tcMar>
              <w:top w:w="80" w:type="dxa"/>
              <w:start w:w="120" w:type="dxa"/>
              <w:bottom w:w="80" w:type="dxa"/>
              <w:end w:w="120" w:type="dxa"/>
            </w:tcMar>
            <w:vAlign w:val="center"/>
          </w:tcPr>
          <w:p>
            <w:pPr>
              <w:spacing w:after="0" w:line="252" w:lineRule="auto"/>
            </w:pPr>
            <w:r>
              <w:rPr>
                <w:rFonts w:ascii="Calibri" w:hAnsi="Calibri"/>
                <w:color w:val="202020"/>
                <w:sz w:val="18"/>
              </w:rPr>
              <w:t>+ Focal loss</w:t>
            </w:r>
          </w:p>
        </w:tc>
        <w:tc>
          <w:tcPr>
            <w:tcW w:type="dxa" w:w="3900"/>
            <w:tcMar>
              <w:top w:w="80" w:type="dxa"/>
              <w:start w:w="120" w:type="dxa"/>
              <w:bottom w:w="80" w:type="dxa"/>
              <w:end w:w="120" w:type="dxa"/>
            </w:tcMar>
            <w:vAlign w:val="center"/>
          </w:tcPr>
          <w:p>
            <w:pPr>
              <w:spacing w:after="0" w:line="252" w:lineRule="auto"/>
            </w:pPr>
            <w:r>
              <w:rPr>
                <w:rFonts w:ascii="Calibri" w:hAnsi="Calibri"/>
                <w:color w:val="202020"/>
                <w:sz w:val="18"/>
              </w:rPr>
              <w:t>Add focal loss only.</w:t>
            </w:r>
          </w:p>
        </w:tc>
        <w:tc>
          <w:tcPr>
            <w:tcW w:type="dxa" w:w="3160"/>
            <w:tcMar>
              <w:top w:w="80" w:type="dxa"/>
              <w:start w:w="120" w:type="dxa"/>
              <w:bottom w:w="80" w:type="dxa"/>
              <w:end w:w="120" w:type="dxa"/>
            </w:tcMar>
            <w:vAlign w:val="center"/>
          </w:tcPr>
          <w:p>
            <w:pPr>
              <w:spacing w:after="0" w:line="252" w:lineRule="auto"/>
            </w:pPr>
            <w:r>
              <w:rPr>
                <w:rFonts w:ascii="Calibri" w:hAnsi="Calibri"/>
                <w:color w:val="202020"/>
                <w:sz w:val="18"/>
              </w:rPr>
              <w:t>Measures whether hard/minority examples receive useful emphasis.</w:t>
            </w:r>
          </w:p>
        </w:tc>
      </w:tr>
      <w:tr>
        <w:trPr/>
        <w:tc>
          <w:tcPr>
            <w:tcW w:type="dxa" w:w="2300"/>
            <w:tcMar>
              <w:top w:w="80" w:type="dxa"/>
              <w:start w:w="120" w:type="dxa"/>
              <w:bottom w:w="80" w:type="dxa"/>
              <w:end w:w="120" w:type="dxa"/>
            </w:tcMar>
            <w:vAlign w:val="center"/>
          </w:tcPr>
          <w:p>
            <w:pPr>
              <w:spacing w:after="0" w:line="252" w:lineRule="auto"/>
            </w:pPr>
            <w:r>
              <w:rPr>
                <w:rFonts w:ascii="Calibri" w:hAnsi="Calibri"/>
                <w:color w:val="202020"/>
                <w:sz w:val="18"/>
              </w:rPr>
              <w:t>+ Capped class weighting</w:t>
            </w:r>
          </w:p>
        </w:tc>
        <w:tc>
          <w:tcPr>
            <w:tcW w:type="dxa" w:w="3900"/>
            <w:tcMar>
              <w:top w:w="80" w:type="dxa"/>
              <w:start w:w="120" w:type="dxa"/>
              <w:bottom w:w="80" w:type="dxa"/>
              <w:end w:w="120" w:type="dxa"/>
            </w:tcMar>
            <w:vAlign w:val="center"/>
          </w:tcPr>
          <w:p>
            <w:pPr>
              <w:spacing w:after="0" w:line="252" w:lineRule="auto"/>
            </w:pPr>
            <w:r>
              <w:rPr>
                <w:rFonts w:ascii="Calibri" w:hAnsi="Calibri"/>
                <w:color w:val="202020"/>
                <w:sz w:val="18"/>
              </w:rPr>
              <w:t>Add capped class weighting only.</w:t>
            </w:r>
          </w:p>
        </w:tc>
        <w:tc>
          <w:tcPr>
            <w:tcW w:type="dxa" w:w="3160"/>
            <w:tcMar>
              <w:top w:w="80" w:type="dxa"/>
              <w:start w:w="120" w:type="dxa"/>
              <w:bottom w:w="80" w:type="dxa"/>
              <w:end w:w="120" w:type="dxa"/>
            </w:tcMar>
            <w:vAlign w:val="center"/>
          </w:tcPr>
          <w:p>
            <w:pPr>
              <w:spacing w:after="0" w:line="252" w:lineRule="auto"/>
            </w:pPr>
            <w:r>
              <w:rPr>
                <w:rFonts w:ascii="Calibri" w:hAnsi="Calibri"/>
                <w:color w:val="202020"/>
                <w:sz w:val="18"/>
              </w:rPr>
              <w:t>Measures whether class prior correction improves Recall without excessive false positives.</w:t>
            </w:r>
          </w:p>
        </w:tc>
      </w:tr>
      <w:tr>
        <w:trPr/>
        <w:tc>
          <w:tcPr>
            <w:tcW w:type="dxa" w:w="2300"/>
            <w:tcMar>
              <w:top w:w="80" w:type="dxa"/>
              <w:start w:w="120" w:type="dxa"/>
              <w:bottom w:w="80" w:type="dxa"/>
              <w:end w:w="120" w:type="dxa"/>
            </w:tcMar>
            <w:vAlign w:val="center"/>
          </w:tcPr>
          <w:p>
            <w:pPr>
              <w:spacing w:after="0" w:line="252" w:lineRule="auto"/>
            </w:pPr>
            <w:r>
              <w:rPr>
                <w:rFonts w:ascii="Calibri" w:hAnsi="Calibri"/>
                <w:color w:val="202020"/>
                <w:sz w:val="18"/>
              </w:rPr>
              <w:t>+ Threshold tuning</w:t>
            </w:r>
          </w:p>
        </w:tc>
        <w:tc>
          <w:tcPr>
            <w:tcW w:type="dxa" w:w="3900"/>
            <w:tcMar>
              <w:top w:w="80" w:type="dxa"/>
              <w:start w:w="120" w:type="dxa"/>
              <w:bottom w:w="80" w:type="dxa"/>
              <w:end w:w="120" w:type="dxa"/>
            </w:tcMar>
            <w:vAlign w:val="center"/>
          </w:tcPr>
          <w:p>
            <w:pPr>
              <w:spacing w:after="0" w:line="252" w:lineRule="auto"/>
            </w:pPr>
            <w:r>
              <w:rPr>
                <w:rFonts w:ascii="Calibri" w:hAnsi="Calibri"/>
                <w:color w:val="202020"/>
                <w:sz w:val="18"/>
              </w:rPr>
              <w:t>Use validation based threshold selection only.</w:t>
            </w:r>
          </w:p>
        </w:tc>
        <w:tc>
          <w:tcPr>
            <w:tcW w:type="dxa" w:w="3160"/>
            <w:tcMar>
              <w:top w:w="80" w:type="dxa"/>
              <w:start w:w="120" w:type="dxa"/>
              <w:bottom w:w="80" w:type="dxa"/>
              <w:end w:w="120" w:type="dxa"/>
            </w:tcMar>
            <w:vAlign w:val="center"/>
          </w:tcPr>
          <w:p>
            <w:pPr>
              <w:spacing w:after="0" w:line="252" w:lineRule="auto"/>
            </w:pPr>
            <w:r>
              <w:rPr>
                <w:rFonts w:ascii="Calibri" w:hAnsi="Calibri"/>
                <w:color w:val="202020"/>
                <w:sz w:val="18"/>
              </w:rPr>
              <w:t>Measures whether decision calibration improves F1 and PR trade off.</w:t>
            </w:r>
          </w:p>
        </w:tc>
      </w:tr>
      <w:tr>
        <w:trPr/>
        <w:tc>
          <w:tcPr>
            <w:tcW w:type="dxa" w:w="2300"/>
            <w:tcMar>
              <w:top w:w="80" w:type="dxa"/>
              <w:start w:w="120" w:type="dxa"/>
              <w:bottom w:w="80" w:type="dxa"/>
              <w:end w:w="120" w:type="dxa"/>
            </w:tcMar>
            <w:vAlign w:val="center"/>
          </w:tcPr>
          <w:p>
            <w:pPr>
              <w:spacing w:after="0" w:line="252" w:lineRule="auto"/>
            </w:pPr>
            <w:r>
              <w:rPr>
                <w:rFonts w:ascii="Calibri" w:hAnsi="Calibri"/>
                <w:color w:val="202020"/>
                <w:sz w:val="18"/>
              </w:rPr>
              <w:t>+ Multi seed ensemble</w:t>
            </w:r>
          </w:p>
        </w:tc>
        <w:tc>
          <w:tcPr>
            <w:tcW w:type="dxa" w:w="3900"/>
            <w:tcMar>
              <w:top w:w="80" w:type="dxa"/>
              <w:start w:w="120" w:type="dxa"/>
              <w:bottom w:w="80" w:type="dxa"/>
              <w:end w:w="120" w:type="dxa"/>
            </w:tcMar>
            <w:vAlign w:val="center"/>
          </w:tcPr>
          <w:p>
            <w:pPr>
              <w:spacing w:after="0" w:line="252" w:lineRule="auto"/>
            </w:pPr>
            <w:r>
              <w:rPr>
                <w:rFonts w:ascii="Calibri" w:hAnsi="Calibri"/>
                <w:color w:val="202020"/>
                <w:sz w:val="18"/>
              </w:rPr>
              <w:t>Use multi seed ensembling only.</w:t>
            </w:r>
          </w:p>
        </w:tc>
        <w:tc>
          <w:tcPr>
            <w:tcW w:type="dxa" w:w="3160"/>
            <w:tcMar>
              <w:top w:w="80" w:type="dxa"/>
              <w:start w:w="120" w:type="dxa"/>
              <w:bottom w:w="80" w:type="dxa"/>
              <w:end w:w="120" w:type="dxa"/>
            </w:tcMar>
            <w:vAlign w:val="center"/>
          </w:tcPr>
          <w:p>
            <w:pPr>
              <w:spacing w:after="0" w:line="252" w:lineRule="auto"/>
            </w:pPr>
            <w:r>
              <w:rPr>
                <w:rFonts w:ascii="Calibri" w:hAnsi="Calibri"/>
                <w:color w:val="202020"/>
                <w:sz w:val="18"/>
              </w:rPr>
              <w:t>Measures stability and variance reduction.</w:t>
            </w:r>
          </w:p>
        </w:tc>
      </w:tr>
      <w:tr>
        <w:trPr/>
        <w:tc>
          <w:tcPr>
            <w:tcW w:type="dxa" w:w="2300"/>
            <w:tcMar>
              <w:top w:w="80" w:type="dxa"/>
              <w:start w:w="120" w:type="dxa"/>
              <w:bottom w:w="80" w:type="dxa"/>
              <w:end w:w="120" w:type="dxa"/>
            </w:tcMar>
            <w:vAlign w:val="center"/>
          </w:tcPr>
          <w:p>
            <w:pPr>
              <w:spacing w:after="0" w:line="252" w:lineRule="auto"/>
            </w:pPr>
            <w:r>
              <w:rPr>
                <w:rFonts w:ascii="Calibri" w:hAnsi="Calibri"/>
                <w:color w:val="202020"/>
                <w:sz w:val="18"/>
              </w:rPr>
              <w:t>Full imbalance strategy</w:t>
            </w:r>
          </w:p>
        </w:tc>
        <w:tc>
          <w:tcPr>
            <w:tcW w:type="dxa" w:w="3900"/>
            <w:tcMar>
              <w:top w:w="80" w:type="dxa"/>
              <w:start w:w="120" w:type="dxa"/>
              <w:bottom w:w="80" w:type="dxa"/>
              <w:end w:w="120" w:type="dxa"/>
            </w:tcMar>
            <w:vAlign w:val="center"/>
          </w:tcPr>
          <w:p>
            <w:pPr>
              <w:spacing w:after="0" w:line="252" w:lineRule="auto"/>
            </w:pPr>
            <w:r>
              <w:rPr>
                <w:rFonts w:ascii="Calibri" w:hAnsi="Calibri"/>
                <w:color w:val="202020"/>
                <w:sz w:val="18"/>
              </w:rPr>
              <w:t>Combine focal loss, capped class weighting, threshold tuning, and multi seed reporting or ensembling.</w:t>
            </w:r>
          </w:p>
        </w:tc>
        <w:tc>
          <w:tcPr>
            <w:tcW w:type="dxa" w:w="3160"/>
            <w:tcMar>
              <w:top w:w="80" w:type="dxa"/>
              <w:start w:w="120" w:type="dxa"/>
              <w:bottom w:w="80" w:type="dxa"/>
              <w:end w:w="120" w:type="dxa"/>
            </w:tcMar>
            <w:vAlign w:val="center"/>
          </w:tcPr>
          <w:p>
            <w:pPr>
              <w:spacing w:after="0" w:line="252" w:lineRule="auto"/>
            </w:pPr>
            <w:r>
              <w:rPr>
                <w:rFonts w:ascii="Calibri" w:hAnsi="Calibri"/>
                <w:color w:val="202020"/>
                <w:sz w:val="18"/>
              </w:rPr>
              <w:t>Measures the combined effect of the selected imbalance strategy.</w:t>
            </w:r>
          </w:p>
        </w:tc>
      </w:tr>
    </w:tbl>
    <w:p>
      <w:pPr>
        <w:spacing w:after="80"/>
      </w:pPr>
    </w:p>
    <w:p>
      <w:pPr>
        <w:pStyle w:val="Heading1"/>
      </w:pPr>
      <w:r>
        <w:t>8. Experimental Protocol</w:t>
      </w:r>
    </w:p>
    <w:p>
      <w:pPr>
        <w:pStyle w:val="ListBullet"/>
        <w:spacing w:after="80" w:line="280" w:lineRule="auto"/>
      </w:pPr>
      <w:r>
        <w:rPr>
          <w:rFonts w:ascii="Calibri" w:hAnsi="Calibri"/>
          <w:color w:val="202020"/>
          <w:sz w:val="22"/>
        </w:rPr>
        <w:t>Use the audited Devign and Reveal splits for every comparable configuration.</w:t>
      </w:r>
    </w:p>
    <w:p>
      <w:pPr>
        <w:pStyle w:val="ListBullet"/>
        <w:spacing w:after="80" w:line="280" w:lineRule="auto"/>
      </w:pPr>
      <w:r>
        <w:rPr>
          <w:rFonts w:ascii="Calibri" w:hAnsi="Calibri"/>
          <w:color w:val="202020"/>
          <w:sz w:val="22"/>
        </w:rPr>
        <w:t>Keep preprocessing, normalization, cached embedding generation, and data filtering fixed across ablations.</w:t>
      </w:r>
    </w:p>
    <w:p>
      <w:pPr>
        <w:pStyle w:val="ListBullet"/>
        <w:spacing w:after="80" w:line="280" w:lineRule="auto"/>
      </w:pPr>
      <w:r>
        <w:rPr>
          <w:rFonts w:ascii="Calibri" w:hAnsi="Calibri"/>
          <w:color w:val="202020"/>
          <w:sz w:val="22"/>
        </w:rPr>
        <w:t>Train each main configuration with five random seeds and report mean and standard deviation.</w:t>
      </w:r>
    </w:p>
    <w:p>
      <w:pPr>
        <w:pStyle w:val="ListBullet"/>
        <w:spacing w:after="80" w:line="280" w:lineRule="auto"/>
      </w:pPr>
      <w:r>
        <w:rPr>
          <w:rFonts w:ascii="Calibri" w:hAnsi="Calibri"/>
          <w:color w:val="202020"/>
          <w:sz w:val="22"/>
        </w:rPr>
        <w:t>Select thresholds only on the validation split when threshold tuning is enabled.</w:t>
      </w:r>
    </w:p>
    <w:p>
      <w:pPr>
        <w:pStyle w:val="ListBullet"/>
        <w:spacing w:after="80" w:line="280" w:lineRule="auto"/>
      </w:pPr>
      <w:r>
        <w:rPr>
          <w:rFonts w:ascii="Calibri" w:hAnsi="Calibri"/>
          <w:color w:val="202020"/>
          <w:sz w:val="22"/>
        </w:rPr>
        <w:t>Report test metrics once per seed using the pre-declared threshold rule.</w:t>
      </w:r>
    </w:p>
    <w:p>
      <w:pPr>
        <w:pStyle w:val="ListBullet"/>
        <w:spacing w:after="80" w:line="280" w:lineRule="auto"/>
      </w:pPr>
      <w:r>
        <w:rPr>
          <w:rFonts w:ascii="Calibri" w:hAnsi="Calibri"/>
          <w:color w:val="202020"/>
          <w:sz w:val="22"/>
        </w:rPr>
        <w:t>Record training time, inference time, and number of trainable parameters for training-efficiency analysis.</w:t>
      </w:r>
    </w:p>
    <w:p>
      <w:pPr>
        <w:pStyle w:val="ListBullet"/>
        <w:spacing w:after="80" w:line="280" w:lineRule="auto"/>
      </w:pPr>
      <w:r>
        <w:rPr>
          <w:rFonts w:ascii="Calibri" w:hAnsi="Calibri"/>
          <w:color w:val="202020"/>
          <w:sz w:val="22"/>
        </w:rPr>
        <w:t>Report all configurations, including negative or inconclusive results.</w:t>
      </w:r>
    </w:p>
    <w:p>
      <w:pPr>
        <w:pStyle w:val="Heading1"/>
      </w:pPr>
      <w:r>
        <w:t>9. Metrics and Reporting</w:t>
      </w:r>
    </w:p>
    <w:p>
      <w:pPr>
        <w:spacing w:before="0" w:after="120" w:line="264" w:lineRule="auto"/>
      </w:pPr>
      <w:r>
        <w:rPr>
          <w:rFonts w:ascii="Calibri" w:hAnsi="Calibri"/>
          <w:b w:val="0"/>
          <w:color w:val="202020"/>
          <w:sz w:val="22"/>
        </w:rPr>
        <w:t>The main predictive metrics will be Accuracy, Precision, Recall, F1, and PR AUC. Because vulnerability datasets are typically imbalanced, minority class Recall, F1, and PR AUC will be treated as central evidence rather than secondary statistics. Accuracy will be reported, but it will not be used alone to justify a model choice.</w:t>
      </w:r>
    </w:p>
    <w:p>
      <w:pPr>
        <w:spacing w:before="0" w:after="120" w:line="264" w:lineRule="auto"/>
      </w:pPr>
      <w:r>
        <w:rPr>
          <w:rFonts w:ascii="Calibri" w:hAnsi="Calibri"/>
          <w:b w:val="0"/>
          <w:color w:val="202020"/>
          <w:sz w:val="22"/>
        </w:rPr>
        <w:t>For explanation quality, the report will include explanation leakage rate, evidence grounding measures, and label free explanation quality scores. For robustness, the report will include threshold sensitivity analysis and seed-to-seed variation. For efficiency, the report will include training time and trainable parameter count, with special attention to the benefit of frozen cached encoders.</w:t>
      </w:r>
    </w:p>
    <w:tbl>
      <w:tblPr>
        <w:tblStyle w:val="TableGrid"/>
        <w:tblW w:type="dxa" w:w="9360"/>
        <w:tblLayout w:type="fixed"/>
        <w:tblLook w:firstColumn="1" w:firstRow="1" w:lastColumn="0" w:lastRow="0" w:noHBand="0" w:noVBand="1" w:val="04A0"/>
        <w:tblInd w:w="120" w:type="dxa"/>
      </w:tblPr>
      <w:tblGrid>
        <w:gridCol w:w="2500"/>
        <w:gridCol w:w="3600"/>
        <w:gridCol w:w="3260"/>
      </w:tblGrid>
      <w:tr>
        <w:trPr/>
        <w:tc>
          <w:tcPr>
            <w:tcW w:type="dxa" w:w="2500"/>
            <w:shd w:fill="F2F4F7"/>
            <w:tcMar>
              <w:top w:w="80" w:type="dxa"/>
              <w:start w:w="120" w:type="dxa"/>
              <w:bottom w:w="80" w:type="dxa"/>
              <w:end w:w="120" w:type="dxa"/>
            </w:tcMar>
            <w:vAlign w:val="center"/>
          </w:tcPr>
          <w:p>
            <w:pPr>
              <w:spacing w:after="0"/>
              <w:jc w:val="center"/>
            </w:pPr>
            <w:r>
              <w:rPr>
                <w:rFonts w:ascii="Calibri" w:hAnsi="Calibri"/>
                <w:b/>
                <w:color w:val="202020"/>
                <w:sz w:val="19"/>
              </w:rPr>
              <w:t>Evidence type</w:t>
            </w:r>
          </w:p>
        </w:tc>
        <w:tc>
          <w:tcPr>
            <w:tcW w:type="dxa" w:w="3600"/>
            <w:shd w:fill="F2F4F7"/>
            <w:tcMar>
              <w:top w:w="80" w:type="dxa"/>
              <w:start w:w="120" w:type="dxa"/>
              <w:bottom w:w="80" w:type="dxa"/>
              <w:end w:w="120" w:type="dxa"/>
            </w:tcMar>
            <w:vAlign w:val="center"/>
          </w:tcPr>
          <w:p>
            <w:pPr>
              <w:spacing w:after="0"/>
              <w:jc w:val="center"/>
            </w:pPr>
            <w:r>
              <w:rPr>
                <w:rFonts w:ascii="Calibri" w:hAnsi="Calibri"/>
                <w:b/>
                <w:color w:val="202020"/>
                <w:sz w:val="19"/>
              </w:rPr>
              <w:t>Metric or artifact</w:t>
            </w:r>
          </w:p>
        </w:tc>
        <w:tc>
          <w:tcPr>
            <w:tcW w:type="dxa" w:w="3260"/>
            <w:shd w:fill="F2F4F7"/>
            <w:tcMar>
              <w:top w:w="80" w:type="dxa"/>
              <w:start w:w="120" w:type="dxa"/>
              <w:bottom w:w="80" w:type="dxa"/>
              <w:end w:w="120" w:type="dxa"/>
            </w:tcMar>
            <w:vAlign w:val="center"/>
          </w:tcPr>
          <w:p>
            <w:pPr>
              <w:spacing w:after="0"/>
              <w:jc w:val="center"/>
            </w:pPr>
            <w:r>
              <w:rPr>
                <w:rFonts w:ascii="Calibri" w:hAnsi="Calibri"/>
                <w:b/>
                <w:color w:val="202020"/>
                <w:sz w:val="19"/>
              </w:rPr>
              <w:t>Used for</w:t>
            </w:r>
          </w:p>
        </w:tc>
      </w:tr>
      <w:tr>
        <w:trPr/>
        <w:tc>
          <w:tcPr>
            <w:tcW w:type="dxa" w:w="2500"/>
            <w:tcMar>
              <w:top w:w="80" w:type="dxa"/>
              <w:start w:w="120" w:type="dxa"/>
              <w:bottom w:w="80" w:type="dxa"/>
              <w:end w:w="120" w:type="dxa"/>
            </w:tcMar>
            <w:vAlign w:val="center"/>
          </w:tcPr>
          <w:p>
            <w:pPr>
              <w:spacing w:after="0" w:line="252" w:lineRule="auto"/>
            </w:pPr>
            <w:r>
              <w:rPr>
                <w:rFonts w:ascii="Calibri" w:hAnsi="Calibri"/>
                <w:color w:val="202020"/>
                <w:sz w:val="18"/>
              </w:rPr>
              <w:t>Predictive performance</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Accuracy, Precision, Recall, F1, PR AUC</w:t>
            </w:r>
          </w:p>
        </w:tc>
        <w:tc>
          <w:tcPr>
            <w:tcW w:type="dxa" w:w="3260"/>
            <w:tcMar>
              <w:top w:w="80" w:type="dxa"/>
              <w:start w:w="120" w:type="dxa"/>
              <w:bottom w:w="80" w:type="dxa"/>
              <w:end w:w="120" w:type="dxa"/>
            </w:tcMar>
            <w:vAlign w:val="center"/>
          </w:tcPr>
          <w:p>
            <w:pPr>
              <w:spacing w:after="0" w:line="252" w:lineRule="auto"/>
            </w:pPr>
            <w:r>
              <w:rPr>
                <w:rFonts w:ascii="Calibri" w:hAnsi="Calibri"/>
                <w:color w:val="202020"/>
                <w:sz w:val="18"/>
              </w:rPr>
              <w:t>All ROs, especially RO 02 and RO 03</w:t>
            </w:r>
          </w:p>
        </w:tc>
      </w:tr>
      <w:tr>
        <w:trPr/>
        <w:tc>
          <w:tcPr>
            <w:tcW w:type="dxa" w:w="2500"/>
            <w:tcMar>
              <w:top w:w="80" w:type="dxa"/>
              <w:start w:w="120" w:type="dxa"/>
              <w:bottom w:w="80" w:type="dxa"/>
              <w:end w:w="120" w:type="dxa"/>
            </w:tcMar>
            <w:vAlign w:val="center"/>
          </w:tcPr>
          <w:p>
            <w:pPr>
              <w:spacing w:after="0" w:line="252" w:lineRule="auto"/>
            </w:pPr>
            <w:r>
              <w:rPr>
                <w:rFonts w:ascii="Calibri" w:hAnsi="Calibri"/>
                <w:color w:val="202020"/>
                <w:sz w:val="18"/>
              </w:rPr>
              <w:t>Minority class behavior</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Minority class Recall, PR curves, F1</w:t>
            </w:r>
          </w:p>
        </w:tc>
        <w:tc>
          <w:tcPr>
            <w:tcW w:type="dxa" w:w="3260"/>
            <w:tcMar>
              <w:top w:w="80" w:type="dxa"/>
              <w:start w:w="120" w:type="dxa"/>
              <w:bottom w:w="80" w:type="dxa"/>
              <w:end w:w="120" w:type="dxa"/>
            </w:tcMar>
            <w:vAlign w:val="center"/>
          </w:tcPr>
          <w:p>
            <w:pPr>
              <w:spacing w:after="0" w:line="252" w:lineRule="auto"/>
            </w:pPr>
            <w:r>
              <w:rPr>
                <w:rFonts w:ascii="Calibri" w:hAnsi="Calibri"/>
                <w:color w:val="202020"/>
                <w:sz w:val="18"/>
              </w:rPr>
              <w:t>RO 04</w:t>
            </w:r>
          </w:p>
        </w:tc>
      </w:tr>
      <w:tr>
        <w:trPr/>
        <w:tc>
          <w:tcPr>
            <w:tcW w:type="dxa" w:w="2500"/>
            <w:tcMar>
              <w:top w:w="80" w:type="dxa"/>
              <w:start w:w="120" w:type="dxa"/>
              <w:bottom w:w="80" w:type="dxa"/>
              <w:end w:w="120" w:type="dxa"/>
            </w:tcMar>
            <w:vAlign w:val="center"/>
          </w:tcPr>
          <w:p>
            <w:pPr>
              <w:spacing w:after="0" w:line="252" w:lineRule="auto"/>
            </w:pPr>
            <w:r>
              <w:rPr>
                <w:rFonts w:ascii="Calibri" w:hAnsi="Calibri"/>
                <w:color w:val="202020"/>
                <w:sz w:val="18"/>
              </w:rPr>
              <w:t>Explanation faithfulness</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Evidence grounding measures and quality analysis</w:t>
            </w:r>
          </w:p>
        </w:tc>
        <w:tc>
          <w:tcPr>
            <w:tcW w:type="dxa" w:w="3260"/>
            <w:tcMar>
              <w:top w:w="80" w:type="dxa"/>
              <w:start w:w="120" w:type="dxa"/>
              <w:bottom w:w="80" w:type="dxa"/>
              <w:end w:w="120" w:type="dxa"/>
            </w:tcMar>
            <w:vAlign w:val="center"/>
          </w:tcPr>
          <w:p>
            <w:pPr>
              <w:spacing w:after="0" w:line="252" w:lineRule="auto"/>
            </w:pPr>
            <w:r>
              <w:rPr>
                <w:rFonts w:ascii="Calibri" w:hAnsi="Calibri"/>
                <w:color w:val="202020"/>
                <w:sz w:val="18"/>
              </w:rPr>
              <w:t>RO 01</w:t>
            </w:r>
          </w:p>
        </w:tc>
      </w:tr>
      <w:tr>
        <w:trPr/>
        <w:tc>
          <w:tcPr>
            <w:tcW w:type="dxa" w:w="2500"/>
            <w:tcMar>
              <w:top w:w="80" w:type="dxa"/>
              <w:start w:w="120" w:type="dxa"/>
              <w:bottom w:w="80" w:type="dxa"/>
              <w:end w:w="120" w:type="dxa"/>
            </w:tcMar>
            <w:vAlign w:val="center"/>
          </w:tcPr>
          <w:p>
            <w:pPr>
              <w:spacing w:after="0" w:line="252" w:lineRule="auto"/>
            </w:pPr>
            <w:r>
              <w:rPr>
                <w:rFonts w:ascii="Calibri" w:hAnsi="Calibri"/>
                <w:color w:val="202020"/>
                <w:sz w:val="18"/>
              </w:rPr>
              <w:t>Leakage control</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Explanation leakage rate</w:t>
            </w:r>
          </w:p>
        </w:tc>
        <w:tc>
          <w:tcPr>
            <w:tcW w:type="dxa" w:w="3260"/>
            <w:tcMar>
              <w:top w:w="80" w:type="dxa"/>
              <w:start w:w="120" w:type="dxa"/>
              <w:bottom w:w="80" w:type="dxa"/>
              <w:end w:w="120" w:type="dxa"/>
            </w:tcMar>
            <w:vAlign w:val="center"/>
          </w:tcPr>
          <w:p>
            <w:pPr>
              <w:spacing w:after="0" w:line="252" w:lineRule="auto"/>
            </w:pPr>
            <w:r>
              <w:rPr>
                <w:rFonts w:ascii="Calibri" w:hAnsi="Calibri"/>
                <w:color w:val="202020"/>
                <w:sz w:val="18"/>
              </w:rPr>
              <w:t>RO 01</w:t>
            </w:r>
          </w:p>
        </w:tc>
      </w:tr>
      <w:tr>
        <w:trPr/>
        <w:tc>
          <w:tcPr>
            <w:tcW w:type="dxa" w:w="2500"/>
            <w:tcMar>
              <w:top w:w="80" w:type="dxa"/>
              <w:start w:w="120" w:type="dxa"/>
              <w:bottom w:w="80" w:type="dxa"/>
              <w:end w:w="120" w:type="dxa"/>
            </w:tcMar>
            <w:vAlign w:val="center"/>
          </w:tcPr>
          <w:p>
            <w:pPr>
              <w:spacing w:after="0" w:line="252" w:lineRule="auto"/>
              <w:jc w:val="center"/>
            </w:pPr>
            <w:r>
              <w:rPr>
                <w:rFonts w:ascii="Calibri" w:hAnsi="Calibri"/>
                <w:color w:val="202020"/>
                <w:sz w:val="18"/>
              </w:rPr>
              <w:t>Robustness</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Five seed mean and standard deviation; threshold sensitivity</w:t>
            </w:r>
          </w:p>
        </w:tc>
        <w:tc>
          <w:tcPr>
            <w:tcW w:type="dxa" w:w="3260"/>
            <w:tcMar>
              <w:top w:w="80" w:type="dxa"/>
              <w:start w:w="120" w:type="dxa"/>
              <w:bottom w:w="80" w:type="dxa"/>
              <w:end w:w="120" w:type="dxa"/>
            </w:tcMar>
            <w:vAlign w:val="center"/>
          </w:tcPr>
          <w:p>
            <w:pPr>
              <w:spacing w:after="0" w:line="252" w:lineRule="auto"/>
            </w:pPr>
            <w:r>
              <w:rPr>
                <w:rFonts w:ascii="Calibri" w:hAnsi="Calibri"/>
                <w:color w:val="202020"/>
                <w:sz w:val="18"/>
              </w:rPr>
              <w:t>RO 03 and RO 04</w:t>
            </w:r>
          </w:p>
        </w:tc>
      </w:tr>
      <w:tr>
        <w:trPr/>
        <w:tc>
          <w:tcPr>
            <w:tcW w:type="dxa" w:w="2500"/>
            <w:tcMar>
              <w:top w:w="80" w:type="dxa"/>
              <w:start w:w="120" w:type="dxa"/>
              <w:bottom w:w="80" w:type="dxa"/>
              <w:end w:w="120" w:type="dxa"/>
            </w:tcMar>
            <w:vAlign w:val="center"/>
          </w:tcPr>
          <w:p>
            <w:pPr>
              <w:spacing w:after="0" w:line="252" w:lineRule="auto"/>
              <w:jc w:val="center"/>
            </w:pPr>
            <w:r>
              <w:rPr>
                <w:rFonts w:ascii="Calibri" w:hAnsi="Calibri"/>
                <w:color w:val="202020"/>
                <w:sz w:val="18"/>
              </w:rPr>
              <w:t>Efficiency</w:t>
            </w:r>
          </w:p>
        </w:tc>
        <w:tc>
          <w:tcPr>
            <w:tcW w:type="dxa" w:w="3600"/>
            <w:tcMar>
              <w:top w:w="80" w:type="dxa"/>
              <w:start w:w="120" w:type="dxa"/>
              <w:bottom w:w="80" w:type="dxa"/>
              <w:end w:w="120" w:type="dxa"/>
            </w:tcMar>
            <w:vAlign w:val="center"/>
          </w:tcPr>
          <w:p>
            <w:pPr>
              <w:spacing w:after="0" w:line="252" w:lineRule="auto"/>
            </w:pPr>
            <w:r>
              <w:rPr>
                <w:rFonts w:ascii="Calibri" w:hAnsi="Calibri"/>
                <w:color w:val="202020"/>
                <w:sz w:val="18"/>
              </w:rPr>
              <w:t>Training time, inference time, trainable parameters</w:t>
            </w:r>
          </w:p>
        </w:tc>
        <w:tc>
          <w:tcPr>
            <w:tcW w:type="dxa" w:w="3260"/>
            <w:tcMar>
              <w:top w:w="80" w:type="dxa"/>
              <w:start w:w="120" w:type="dxa"/>
              <w:bottom w:w="80" w:type="dxa"/>
              <w:end w:w="120" w:type="dxa"/>
            </w:tcMar>
            <w:vAlign w:val="center"/>
          </w:tcPr>
          <w:p>
            <w:pPr>
              <w:spacing w:after="0" w:line="252" w:lineRule="auto"/>
            </w:pPr>
            <w:r>
              <w:rPr>
                <w:rFonts w:ascii="Calibri" w:hAnsi="Calibri"/>
                <w:color w:val="202020"/>
                <w:sz w:val="18"/>
              </w:rPr>
              <w:t>RO 02 and RO 03</w:t>
            </w:r>
          </w:p>
        </w:tc>
      </w:tr>
    </w:tbl>
    <w:p>
      <w:pPr>
        <w:spacing w:after="80"/>
      </w:pPr>
    </w:p>
    <w:p>
      <w:pPr>
        <w:pStyle w:val="Heading1"/>
      </w:pPr>
      <w:r>
        <w:t>10. Interpretation Plan</w:t>
      </w:r>
    </w:p>
    <w:p>
      <w:pPr>
        <w:spacing w:before="0" w:after="120" w:line="264" w:lineRule="auto"/>
      </w:pPr>
      <w:r>
        <w:rPr>
          <w:rFonts w:ascii="Calibri" w:hAnsi="Calibri"/>
          <w:b w:val="0"/>
          <w:color w:val="202020"/>
          <w:sz w:val="22"/>
        </w:rPr>
        <w:t>A component will be considered useful if its inclusion produces a consistent improvement in F1, PR AUC, or minority class Recall without causing an unacceptable increase in leakage, training cost, or threshold instability. The final interpretation will not rely on a single metric. For example, a configuration that improves Accuracy while reducing minority class Recall will be treated cautiously because it may be exploiting the majority class distribution.</w:t>
      </w:r>
    </w:p>
    <w:p>
      <w:pPr>
        <w:spacing w:before="0" w:after="120" w:line="264" w:lineRule="auto"/>
      </w:pPr>
      <w:r>
        <w:rPr>
          <w:rFonts w:ascii="Calibri" w:hAnsi="Calibri"/>
          <w:b w:val="0"/>
          <w:color w:val="202020"/>
          <w:sz w:val="22"/>
        </w:rPr>
        <w:t>The report will present both absolute scores and deltas from the relevant reference configuration. For the ladder, the key deltas are L2 minus L1 and Full minus L2. For leave-one-out, the key values are Full minus each ablated variant. These deltas directly show the significance of each individual block in the pipeline.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1F4D78"/>
                <w:sz w:val="21"/>
              </w:rPr>
              <w:t>Expected final deliverable</w:t>
            </w:r>
          </w:p>
          <w:p>
            <w:pPr>
              <w:spacing w:after="0" w:line="264" w:lineRule="auto"/>
            </w:pPr>
            <w:r>
              <w:rPr>
                <w:rFonts w:ascii="Calibri" w:hAnsi="Calibri"/>
                <w:color w:val="202020"/>
                <w:sz w:val="21"/>
              </w:rPr>
              <w:t>The final ablation section will contain one ladder table, one leave-one-out table, one explanation ablation table, one imbalance ablation table, and a short interpretation paragraph for each dataset. This directly satisfies the requested action: reporting the significance of individual ML pipeline blocks in terms of accuracy and performance measures.</w:t>
            </w:r>
          </w:p>
        </w:tc>
      </w:tr>
    </w:tbl>
    <w:p>
      <w:pPr>
        <w:spacing w:after="4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SemanticVul ablation study plan</w:t>
    </w:r>
    <w:r>
      <w:rPr>
        <w:rFonts w:ascii="Calibri" w:hAnsi="Calibri"/>
        <w:color w:val="5A5A5A"/>
        <w:sz w:val="18"/>
      </w:rPr>
      <w:t xml:space="preserve">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of Ablation Study for SemanticVul</dc:title>
  <dc:subject>Supervisor review document</dc:subject>
  <dc:creator>SemanticVul student researcher</dc:creator>
  <cp:keywords>SemanticVul, ablation study, vulnerability detection, explanations, fusion</cp:keywords>
  <dc:description>generated by python-docx</dc:description>
  <cp:lastModifiedBy/>
  <cp:revision>1</cp:revision>
  <dcterms:created xsi:type="dcterms:W3CDTF">2013-12-23T23:15:00Z</dcterms:created>
  <dcterms:modified xsi:type="dcterms:W3CDTF">2013-12-23T23:15:00Z</dcterms:modified>
  <cp:category/>
</cp:coreProperties>
</file>