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t xml:space="preserve">الوثيقة المعمارية والهندسية الرسمية لمنظومة «دليل أي خدمة»</w:t>
      </w:r>
    </w:p>
    <w:p>
      <w:pPr>
        <w:spacing w:after="300"/>
        <w:jc w:val="center"/>
      </w:pPr>
      <w:r>
        <w:t xml:space="preserve">Daleel Ay Khidma • System Architecture, API Specs, Mobile Readiness &amp; Official Handoff Blueprint</w:t>
      </w:r>
    </w:p>
    <w:p>
      <w:pPr>
        <w:spacing w:after="400"/>
        <w:jc w:val="center"/>
      </w:pPr>
      <w:r>
        <w:t xml:space="preserve">الإصدار: 2.4.0-Production-Ready | التاريخ: سبتمبر 2026 | الحالة: معتمد كمرجع لتطوير تطبيقات Flutter</w:t>
      </w:r>
    </w:p>
    <w:p>
      <w:pPr>
        <w:pStyle w:val="Heading1"/>
        <w:spacing w:after="180" w:before="360"/>
      </w:pPr>
      <w:r>
        <w:t xml:space="preserve">1. الملخص التنفيذي والنظرة العامة (Executive Overview)</w:t>
      </w:r>
    </w:p>
    <w:p>
      <w:pPr>
        <w:spacing w:after="100" w:before="100"/>
      </w:pPr>
      <w:r>
        <w:rPr>
          <w:rFonts w:ascii="Arial" w:cs="Arial" w:eastAsia="Arial" w:hAnsi="Arial"/>
          <w:b w:val="false"/>
          <w:bCs w:val="false"/>
          <w:sz w:val="22"/>
          <w:szCs w:val="22"/>
        </w:rPr>
        <w:t xml:space="preserve">منظومة «دليل أي خدمة» (Daleel Ay Khidma) هي منصة تجارية وخدمية متطورة ومخصصة للسوق المصري، تجمع بين محرك بحث جغرافي للمحلات والخدمات، كتالوجات منتجات ومقارنة أسعار، بوابة تجار لإدارة الأنشطة واستيراد المنتجات بـ CSV، ولوحة تحكم مركزية للإدارة والتوثيق، ومصدر موحد للإعدادات العامة والهوية البصرية.</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المستخدم النهائي: استكشاف المتاجر، البحث الجغرافي، مقارنة الأسعار، والتواصل عبر واتساب والاتصال.</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التاجر: إدارة النشاط التجاري، رفع وتعديل المنتجات، استيراد وتصدير CSV، نشر العروض، واستقبال الاستفسارات.</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الإدارة: إدارة الهيكل الجغرافي، التصنيفات، اعتماد وتوثيق الأنشطة، ضبط إعدادات المنصة، وسجلات التتبع.</w:t>
      </w:r>
    </w:p>
    <w:p>
      <w:pPr>
        <w:pStyle w:val="Heading1"/>
        <w:spacing w:after="180" w:before="360"/>
      </w:pPr>
      <w:r>
        <w:t xml:space="preserve">2. المعمارية العامة ومصدر الحقيقة الموحد (System Architecture)</w:t>
      </w:r>
    </w:p>
    <w:p>
      <w:pPr>
        <w:spacing w:after="100" w:before="100"/>
      </w:pPr>
      <w:r>
        <w:rPr>
          <w:rFonts w:ascii="Arial" w:cs="Arial" w:eastAsia="Arial" w:hAnsi="Arial"/>
          <w:b w:val="false"/>
          <w:bCs w:val="false"/>
          <w:sz w:val="22"/>
          <w:szCs w:val="22"/>
        </w:rPr>
        <w:t xml:space="preserve">تم بناء المنصة وفق معمارية معيارية مفصولة الطبقات، حيث يشترك الويب وتطبيقات الموبايل المستقبلية في نفس الواجهات البرمجية REST API v2 ونفس مصدر الإعدادات (Single Source of Truth) المتاح عبر نقطة /api/v2/settings وسياق SettingsProvider.</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البوابات الأمامية: User Web App, Merchant Web Portal, Admin Operations System.</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الحزم المشتركة (/src/packages): settings, auth, i18n, api-client, types, ui.</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طبقة الخادم: خادم Express/Node مهيأ ومعماريته مطابقة تماماً لإطار عمل Laravel 11 مع Sanctum Auth.</w:t>
      </w:r>
    </w:p>
    <w:p>
      <w:pPr>
        <w:pStyle w:val="Heading1"/>
        <w:spacing w:after="180" w:before="360"/>
      </w:pPr>
      <w:r>
        <w:t xml:space="preserve">3. توثيق الـ API وجاهزية تطبيقات الموبايل (REST API v2)</w:t>
      </w:r>
    </w:p>
    <w:p>
      <w:pPr>
        <w:spacing w:after="100" w:before="100"/>
      </w:pPr>
      <w:r>
        <w:rPr>
          <w:rFonts w:ascii="Arial" w:cs="Arial" w:eastAsia="Arial" w:hAnsi="Arial"/>
          <w:b w:val="false"/>
          <w:bCs w:val="false"/>
          <w:sz w:val="22"/>
          <w:szCs w:val="22"/>
        </w:rPr>
        <w:t xml:space="preserve">تعتمد المنصة على معيار RESTful JSON موحد مع توكنات Bearer Tokens وحقول استجابة قياسية (status, data, message, meta):</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المصادقة: POST /api/v2/auth/login, POST /api/v2/auth/register, POST /api/v2/auth/forgot-password.</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الإعدادات وإقلاع الموبايل: GET /api/v2/settings, GET /api/v2/app/bootstrap.</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الاستكشاف والبحث: GET /api/v2/activities, GET /api/v2/search/unified, GET /api/v2/map/items.</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المنتجات والأسعار: GET /api/v2/products/compare, GET /api/v2/offers, GET /api/v2/plans.</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عمليات التاجر: GET/POST /api/v2/merchant/activities, POST /api/v2/merchant/products/import-csv, GET /export-csv.</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عمليات الإدارة: GET /api/v2/admin/stats, POST /api/v2/admin/activities/:id/verify, GET /audit-logs.</w:t>
      </w:r>
    </w:p>
    <w:p>
      <w:pPr>
        <w:pStyle w:val="Heading1"/>
        <w:spacing w:after="180" w:before="360"/>
      </w:pPr>
      <w:r>
        <w:t xml:space="preserve">4. قسم تأهيل النظام وتنظيف الأصول المؤقتة (System Qualification)</w:t>
      </w:r>
    </w:p>
    <w:p>
      <w:pPr>
        <w:spacing w:after="100" w:before="100"/>
      </w:pPr>
      <w:r>
        <w:rPr>
          <w:rFonts w:ascii="Arial" w:cs="Arial" w:eastAsia="Arial" w:hAnsi="Arial"/>
          <w:b w:val="false"/>
          <w:bCs w:val="false"/>
          <w:sz w:val="22"/>
          <w:szCs w:val="22"/>
        </w:rPr>
        <w:t xml:space="preserve">يوثق هذا الجدول كافة العناصر المؤقتة والبيانات التجريبية الحالية وخطة تأهيلها للاعتماد النهائي: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D1D5DB" w:sz="1"/>
              <w:left w:val="single" w:color="D1D5DB" w:sz="1"/>
              <w:bottom w:val="single" w:color="D1D5DB" w:sz="1"/>
              <w:right w:val="single" w:color="D1D5DB" w:sz="1"/>
            </w:tcBorders>
            <w:shd w:fill="374151" w:color="374151" w:val="solid"/>
          </w:tcPr>
          <w:p>
            <w:pPr>
              <w:jc w:val="center"/>
            </w:pPr>
            <w:r>
              <w:rPr>
                <w:rFonts w:ascii="Arial" w:cs="Arial" w:eastAsia="Arial" w:hAnsi="Arial"/>
                <w:b/>
                <w:bCs/>
                <w:color w:val="FFFFFF"/>
                <w:sz w:val="20"/>
                <w:szCs w:val="20"/>
              </w:rPr>
              <w:t xml:space="preserve">العنصر / الأصل المؤقت</w:t>
            </w:r>
          </w:p>
        </w:tc>
        <w:tc>
          <w:tcPr>
            <w:tcW w:type="pct" w:w="22%"/>
            <w:tcBorders>
              <w:top w:val="single" w:color="D1D5DB" w:sz="1"/>
              <w:left w:val="single" w:color="D1D5DB" w:sz="1"/>
              <w:bottom w:val="single" w:color="D1D5DB" w:sz="1"/>
              <w:right w:val="single" w:color="D1D5DB" w:sz="1"/>
            </w:tcBorders>
            <w:shd w:fill="374151" w:color="374151" w:val="solid"/>
          </w:tcPr>
          <w:p>
            <w:pPr>
              <w:jc w:val="center"/>
            </w:pPr>
            <w:r>
              <w:rPr>
                <w:rFonts w:ascii="Arial" w:cs="Arial" w:eastAsia="Arial" w:hAnsi="Arial"/>
                <w:b/>
                <w:bCs/>
                <w:color w:val="FFFFFF"/>
                <w:sz w:val="20"/>
                <w:szCs w:val="20"/>
              </w:rPr>
              <w:t xml:space="preserve">الموقع في الكود</w:t>
            </w:r>
          </w:p>
        </w:tc>
        <w:tc>
          <w:tcPr>
            <w:tcW w:type="pct" w:w="26%"/>
            <w:tcBorders>
              <w:top w:val="single" w:color="D1D5DB" w:sz="1"/>
              <w:left w:val="single" w:color="D1D5DB" w:sz="1"/>
              <w:bottom w:val="single" w:color="D1D5DB" w:sz="1"/>
              <w:right w:val="single" w:color="D1D5DB" w:sz="1"/>
            </w:tcBorders>
            <w:shd w:fill="374151" w:color="374151" w:val="solid"/>
          </w:tcPr>
          <w:p>
            <w:pPr>
              <w:jc w:val="center"/>
            </w:pPr>
            <w:r>
              <w:rPr>
                <w:rFonts w:ascii="Arial" w:cs="Arial" w:eastAsia="Arial" w:hAnsi="Arial"/>
                <w:b/>
                <w:bCs/>
                <w:color w:val="FFFFFF"/>
                <w:sz w:val="20"/>
                <w:szCs w:val="20"/>
              </w:rPr>
              <w:t xml:space="preserve">سبب اعتباره مؤقتاً / غير معتمد</w:t>
            </w:r>
          </w:p>
        </w:tc>
        <w:tc>
          <w:tcPr>
            <w:tcW w:type="pct" w:w="30%"/>
            <w:tcBorders>
              <w:top w:val="single" w:color="D1D5DB" w:sz="1"/>
              <w:left w:val="single" w:color="D1D5DB" w:sz="1"/>
              <w:bottom w:val="single" w:color="D1D5DB" w:sz="1"/>
              <w:right w:val="single" w:color="D1D5DB" w:sz="1"/>
            </w:tcBorders>
            <w:shd w:fill="374151" w:color="374151" w:val="solid"/>
          </w:tcPr>
          <w:p>
            <w:pPr>
              <w:jc w:val="center"/>
            </w:pPr>
            <w:r>
              <w:rPr>
                <w:rFonts w:ascii="Arial" w:cs="Arial" w:eastAsia="Arial" w:hAnsi="Arial"/>
                <w:b/>
                <w:bCs/>
                <w:color w:val="FFFFFF"/>
                <w:sz w:val="20"/>
                <w:szCs w:val="20"/>
              </w:rPr>
              <w:t xml:space="preserve">الإجراء المطلوب للتأهيل والاعتماد</w:t>
            </w:r>
          </w:p>
        </w:tc>
      </w:tr>
      <w:tr>
        <w:tc>
          <w:tcPr>
            <w:tcW w:type="pct" w:w="22%"/>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رمز التحقق المؤقت (Demo OTP)</w:t>
            </w:r>
          </w:p>
        </w:tc>
        <w:tc>
          <w:tcPr>
            <w:tcW w:type="pct" w:w="22%"/>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AuthModal.tsx &amp; server.ts</w:t>
            </w:r>
          </w:p>
        </w:tc>
        <w:tc>
          <w:tcPr>
            <w:tcW w:type="pct" w:w="26%"/>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إرجاع رمز ثابت 4829 للاختبار فقط</w:t>
            </w:r>
          </w:p>
        </w:tc>
        <w:tc>
          <w:tcPr>
            <w:tcW w:type="pct" w:w="30%"/>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ربط مزود رسائل SMS حقيقي (Twilio / VictoryLink)</w:t>
            </w:r>
          </w:p>
        </w:tc>
      </w:tr>
      <w:tr>
        <w:tc>
          <w:tcPr>
            <w:tcW w:type="pct" w:w="22%"/>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روابط الصور التجريبية (Unsplash)</w:t>
            </w:r>
          </w:p>
        </w:tc>
        <w:tc>
          <w:tcPr>
            <w:tcW w:type="pct" w:w="22%"/>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server.ts / Mock Arrays</w:t>
            </w:r>
          </w:p>
        </w:tc>
        <w:tc>
          <w:tcPr>
            <w:tcW w:type="pct" w:w="26%"/>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استخدام صور عامة عبر الإنترنت بدلاً من التخزين السحابي</w:t>
            </w:r>
          </w:p>
        </w:tc>
        <w:tc>
          <w:tcPr>
            <w:tcW w:type="pct" w:w="30%"/>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تجهيز خدمة تخزين S3 / Cloud Storage ورفع ملفات حقيقية</w:t>
            </w:r>
          </w:p>
        </w:tc>
      </w:tr>
      <w:tr>
        <w:tc>
          <w:tcPr>
            <w:tcW w:type="pct" w:w="22%"/>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الدفع الإلكتروني للاشتراكات</w:t>
            </w:r>
          </w:p>
        </w:tc>
        <w:tc>
          <w:tcPr>
            <w:tcW w:type="pct" w:w="22%"/>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/api/v2/merchant/subscribe</w:t>
            </w:r>
          </w:p>
        </w:tc>
        <w:tc>
          <w:tcPr>
            <w:tcW w:type="pct" w:w="26%"/>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تفعيل الباقات يسجل مرجع وهمي فورياً بدون خصم مالي</w:t>
            </w:r>
          </w:p>
        </w:tc>
        <w:tc>
          <w:tcPr>
            <w:tcW w:type="pct" w:w="30%"/>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ربط بوابة دفع إلكترونية مصرية (Paymob / Fawry)</w:t>
            </w:r>
          </w:p>
        </w:tc>
      </w:tr>
      <w:tr>
        <w:tc>
          <w:tcPr>
            <w:tcW w:type="pct" w:w="22%"/>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مفاتيح الخرائط للموبايل</w:t>
            </w:r>
          </w:p>
        </w:tc>
        <w:tc>
          <w:tcPr>
            <w:tcW w:type="pct" w:w="22%"/>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InteractiveMap &amp; Flutter Config</w:t>
            </w:r>
          </w:p>
        </w:tc>
        <w:tc>
          <w:tcPr>
            <w:tcW w:type="pct" w:w="26%"/>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الويب يستخدم Leaflet OSM، بينما الموبايل يتطلب Google Maps SDK</w:t>
            </w:r>
          </w:p>
        </w:tc>
        <w:tc>
          <w:tcPr>
            <w:tcW w:type="pct" w:w="30%"/>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استخراج Google Maps API Keys لنظامي Android و iOS</w:t>
            </w:r>
          </w:p>
        </w:tc>
      </w:tr>
    </w:tbl>
    <w:p>
      <w:pPr>
        <w:pStyle w:val="Heading1"/>
        <w:spacing w:after="180" w:before="360"/>
      </w:pPr>
      <w:r>
        <w:t xml:space="preserve">5. مصفوفة الميزات التفصيلية (Feature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tcBorders>
              <w:top w:val="single" w:color="D1D5DB" w:sz="1"/>
              <w:left w:val="single" w:color="D1D5DB" w:sz="1"/>
              <w:bottom w:val="single" w:color="D1D5DB" w:sz="1"/>
              <w:right w:val="single" w:color="D1D5DB" w:sz="1"/>
            </w:tcBorders>
            <w:shd w:fill="374151" w:color="374151" w:val="solid"/>
          </w:tcPr>
          <w:p>
            <w:pPr>
              <w:jc w:val="center"/>
            </w:pPr>
            <w:r>
              <w:rPr>
                <w:rFonts w:ascii="Arial" w:cs="Arial" w:eastAsia="Arial" w:hAnsi="Arial"/>
                <w:b/>
                <w:bCs/>
                <w:color w:val="FFFFFF"/>
                <w:sz w:val="20"/>
                <w:szCs w:val="20"/>
              </w:rPr>
              <w:t xml:space="preserve">الوظيفة / الميزة</w:t>
            </w:r>
          </w:p>
        </w:tc>
        <w:tc>
          <w:tcPr>
            <w:tcW w:type="pct" w:w="18%"/>
            <w:tcBorders>
              <w:top w:val="single" w:color="D1D5DB" w:sz="1"/>
              <w:left w:val="single" w:color="D1D5DB" w:sz="1"/>
              <w:bottom w:val="single" w:color="D1D5DB" w:sz="1"/>
              <w:right w:val="single" w:color="D1D5DB" w:sz="1"/>
            </w:tcBorders>
            <w:shd w:fill="374151" w:color="374151" w:val="solid"/>
          </w:tcPr>
          <w:p>
            <w:pPr>
              <w:jc w:val="center"/>
            </w:pPr>
            <w:r>
              <w:rPr>
                <w:rFonts w:ascii="Arial" w:cs="Arial" w:eastAsia="Arial" w:hAnsi="Arial"/>
                <w:b/>
                <w:bCs/>
                <w:color w:val="FFFFFF"/>
                <w:sz w:val="20"/>
                <w:szCs w:val="20"/>
              </w:rPr>
              <w:t xml:space="preserve">الزائر</w:t>
            </w:r>
          </w:p>
        </w:tc>
        <w:tc>
          <w:tcPr>
            <w:tcW w:type="pct" w:w="18%"/>
            <w:tcBorders>
              <w:top w:val="single" w:color="D1D5DB" w:sz="1"/>
              <w:left w:val="single" w:color="D1D5DB" w:sz="1"/>
              <w:bottom w:val="single" w:color="D1D5DB" w:sz="1"/>
              <w:right w:val="single" w:color="D1D5DB" w:sz="1"/>
            </w:tcBorders>
            <w:shd w:fill="374151" w:color="374151" w:val="solid"/>
          </w:tcPr>
          <w:p>
            <w:pPr>
              <w:jc w:val="center"/>
            </w:pPr>
            <w:r>
              <w:rPr>
                <w:rFonts w:ascii="Arial" w:cs="Arial" w:eastAsia="Arial" w:hAnsi="Arial"/>
                <w:b/>
                <w:bCs/>
                <w:color w:val="FFFFFF"/>
                <w:sz w:val="20"/>
                <w:szCs w:val="20"/>
              </w:rPr>
              <w:t xml:space="preserve">التاجر</w:t>
            </w:r>
          </w:p>
        </w:tc>
        <w:tc>
          <w:tcPr>
            <w:tcW w:type="pct" w:w="18%"/>
            <w:tcBorders>
              <w:top w:val="single" w:color="D1D5DB" w:sz="1"/>
              <w:left w:val="single" w:color="D1D5DB" w:sz="1"/>
              <w:bottom w:val="single" w:color="D1D5DB" w:sz="1"/>
              <w:right w:val="single" w:color="D1D5DB" w:sz="1"/>
            </w:tcBorders>
            <w:shd w:fill="374151" w:color="374151" w:val="solid"/>
          </w:tcPr>
          <w:p>
            <w:pPr>
              <w:jc w:val="center"/>
            </w:pPr>
            <w:r>
              <w:rPr>
                <w:rFonts w:ascii="Arial" w:cs="Arial" w:eastAsia="Arial" w:hAnsi="Arial"/>
                <w:b/>
                <w:bCs/>
                <w:color w:val="FFFFFF"/>
                <w:sz w:val="20"/>
                <w:szCs w:val="20"/>
              </w:rPr>
              <w:t xml:space="preserve">الإدارة</w:t>
            </w:r>
          </w:p>
        </w:tc>
        <w:tc>
          <w:tcPr>
            <w:tcW w:type="pct" w:w="18%"/>
            <w:tcBorders>
              <w:top w:val="single" w:color="D1D5DB" w:sz="1"/>
              <w:left w:val="single" w:color="D1D5DB" w:sz="1"/>
              <w:bottom w:val="single" w:color="D1D5DB" w:sz="1"/>
              <w:right w:val="single" w:color="D1D5DB" w:sz="1"/>
            </w:tcBorders>
            <w:shd w:fill="374151" w:color="374151" w:val="solid"/>
          </w:tcPr>
          <w:p>
            <w:pPr>
              <w:jc w:val="center"/>
            </w:pPr>
            <w:r>
              <w:rPr>
                <w:rFonts w:ascii="Arial" w:cs="Arial" w:eastAsia="Arial" w:hAnsi="Arial"/>
                <w:b/>
                <w:bCs/>
                <w:color w:val="FFFFFF"/>
                <w:sz w:val="20"/>
                <w:szCs w:val="20"/>
              </w:rPr>
              <w:t xml:space="preserve">تطبيق Flutter</w:t>
            </w:r>
          </w:p>
        </w:tc>
      </w:tr>
      <w:tr>
        <w:tc>
          <w:tcPr>
            <w:tcW w:type="pct" w:w="28%"/>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استكشاف الأنشطة والتصنيفات</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w:t>
            </w:r>
          </w:p>
        </w:tc>
      </w:tr>
      <w:tr>
        <w:tc>
          <w:tcPr>
            <w:tcW w:type="pct" w:w="28%"/>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مقارنة أسعار المنتجات والبحث الموحد</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w:t>
            </w:r>
          </w:p>
        </w:tc>
      </w:tr>
      <w:tr>
        <w:tc>
          <w:tcPr>
            <w:tcW w:type="pct" w:w="28%"/>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إدارة المحلات ورفع المنتجات</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غير 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 (تطبيق التاجر)</w:t>
            </w:r>
          </w:p>
        </w:tc>
      </w:tr>
      <w:tr>
        <w:tc>
          <w:tcPr>
            <w:tcW w:type="pct" w:w="28%"/>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استيراد وتصدير كتالوجات CSV</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غير 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خاص بالويب ✖</w:t>
            </w:r>
          </w:p>
        </w:tc>
      </w:tr>
      <w:tr>
        <w:tc>
          <w:tcPr>
            <w:tcW w:type="pct" w:w="28%"/>
            <w:tcBorders>
              <w:top w:val="single" w:color="D1D5DB" w:sz="1"/>
              <w:left w:val="single" w:color="D1D5DB" w:sz="1"/>
              <w:bottom w:val="single" w:color="D1D5DB" w:sz="1"/>
              <w:right w:val="single" w:color="D1D5DB" w:sz="1"/>
            </w:tcBorders>
          </w:tcPr>
          <w:p>
            <w:pPr>
              <w:jc w:val="right"/>
            </w:pPr>
            <w:r>
              <w:rPr>
                <w:rFonts w:ascii="Arial" w:cs="Arial" w:eastAsia="Arial" w:hAnsi="Arial"/>
                <w:sz w:val="20"/>
                <w:szCs w:val="20"/>
              </w:rPr>
              <w:t xml:space="preserve">اعتماد وتوثيق الأنشطة وضبط الإعدادات</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غير 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غير 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متاح ✔</w:t>
            </w:r>
          </w:p>
        </w:tc>
        <w:tc>
          <w:tcPr>
            <w:tcW w:type="pct" w:w="18%"/>
            <w:tcBorders>
              <w:top w:val="single" w:color="D1D5DB" w:sz="1"/>
              <w:left w:val="single" w:color="D1D5DB" w:sz="1"/>
              <w:bottom w:val="single" w:color="D1D5DB" w:sz="1"/>
              <w:right w:val="single" w:color="D1D5DB" w:sz="1"/>
            </w:tcBorders>
          </w:tcPr>
          <w:p>
            <w:pPr>
              <w:jc w:val="center"/>
            </w:pPr>
            <w:r>
              <w:rPr>
                <w:rFonts w:ascii="Arial" w:cs="Arial" w:eastAsia="Arial" w:hAnsi="Arial"/>
                <w:sz w:val="20"/>
                <w:szCs w:val="20"/>
              </w:rPr>
              <w:t xml:space="preserve">خاص بلوحة الإدارة ✖</w:t>
            </w:r>
          </w:p>
        </w:tc>
      </w:tr>
    </w:tbl>
    <w:p>
      <w:pPr>
        <w:pStyle w:val="Heading1"/>
        <w:spacing w:after="180" w:before="360"/>
      </w:pPr>
      <w:r>
        <w:t xml:space="preserve">6. خارطة طريق التنفيذ بدون مدد زمنية (Roadmap Without Timeline)</w:t>
      </w:r>
    </w:p>
    <w:p>
      <w:pPr>
        <w:spacing w:after="100" w:before="100"/>
      </w:pPr>
      <w:r>
        <w:rPr>
          <w:rFonts w:ascii="Arial" w:cs="Arial" w:eastAsia="Arial" w:hAnsi="Arial"/>
          <w:b w:val="false"/>
          <w:bCs w:val="false"/>
          <w:sz w:val="22"/>
          <w:szCs w:val="22"/>
        </w:rPr>
        <w:t xml:space="preserve">المرحلة 1: تثبيت قاعدة البيانات الدائمة (PostgreSQL / MySQL) وهجرة الجداول عبر Laravel 11.</w:t>
      </w:r>
    </w:p>
    <w:p>
      <w:pPr>
        <w:spacing w:after="100" w:before="100"/>
      </w:pPr>
      <w:r>
        <w:rPr>
          <w:rFonts w:ascii="Arial" w:cs="Arial" w:eastAsia="Arial" w:hAnsi="Arial"/>
          <w:b w:val="false"/>
          <w:bCs w:val="false"/>
          <w:sz w:val="22"/>
          <w:szCs w:val="22"/>
        </w:rPr>
        <w:t xml:space="preserve">المرحلة 2: ربط مزود الرسائل النصية الحقيقي (SMS OTP) وبوابة الدفع الإلكتروني (Paymob / Fawry).</w:t>
      </w:r>
    </w:p>
    <w:p>
      <w:pPr>
        <w:spacing w:after="100" w:before="100"/>
      </w:pPr>
      <w:r>
        <w:rPr>
          <w:rFonts w:ascii="Arial" w:cs="Arial" w:eastAsia="Arial" w:hAnsi="Arial"/>
          <w:b w:val="false"/>
          <w:bCs w:val="false"/>
          <w:sz w:val="22"/>
          <w:szCs w:val="22"/>
        </w:rPr>
        <w:t xml:space="preserve">المرحلة 3: إعداد خدمة التخزين السحابي لرفع الصور والملفات (AWS S3 / Google Cloud Storage).</w:t>
      </w:r>
    </w:p>
    <w:p>
      <w:pPr>
        <w:spacing w:after="100" w:before="100"/>
      </w:pPr>
      <w:r>
        <w:rPr>
          <w:rFonts w:ascii="Arial" w:cs="Arial" w:eastAsia="Arial" w:hAnsi="Arial"/>
          <w:b w:val="false"/>
          <w:bCs w:val="false"/>
          <w:sz w:val="22"/>
          <w:szCs w:val="22"/>
        </w:rPr>
        <w:t xml:space="preserve">المرحلة 4: تأسيس نواة مشروع Flutter الموحد مع Clean Architecture و BLoC و Dio.</w:t>
      </w:r>
    </w:p>
    <w:p>
      <w:pPr>
        <w:spacing w:after="100" w:before="100"/>
      </w:pPr>
      <w:r>
        <w:rPr>
          <w:rFonts w:ascii="Arial" w:cs="Arial" w:eastAsia="Arial" w:hAnsi="Arial"/>
          <w:b w:val="false"/>
          <w:bCs w:val="false"/>
          <w:sz w:val="22"/>
          <w:szCs w:val="22"/>
        </w:rPr>
        <w:t xml:space="preserve">المرحلة 5: بناء تطبيق المستخدم Flutter (Android &amp; iOS) مع خرائط Google Maps والبحث الموحد.</w:t>
      </w:r>
    </w:p>
    <w:p>
      <w:pPr>
        <w:spacing w:after="100" w:before="100"/>
      </w:pPr>
      <w:r>
        <w:rPr>
          <w:rFonts w:ascii="Arial" w:cs="Arial" w:eastAsia="Arial" w:hAnsi="Arial"/>
          <w:b w:val="false"/>
          <w:bCs w:val="false"/>
          <w:sz w:val="22"/>
          <w:szCs w:val="22"/>
        </w:rPr>
        <w:t xml:space="preserve">المرحلة 6: بناء تطبيق التاجر Flutter (Android &amp; iOS) لإدارة المحل، المنتجات، والعروض والاستفسارات.</w:t>
      </w:r>
    </w:p>
    <w:p>
      <w:pPr>
        <w:spacing w:after="100" w:before="100"/>
      </w:pPr>
      <w:r>
        <w:rPr>
          <w:rFonts w:ascii="Arial" w:cs="Arial" w:eastAsia="Arial" w:hAnsi="Arial"/>
          <w:b w:val="false"/>
          <w:bCs w:val="false"/>
          <w:sz w:val="22"/>
          <w:szCs w:val="22"/>
        </w:rPr>
        <w:t xml:space="preserve">المرحلة 7: تفعيل الإشعارات اللحظية (FCM) والروابط العميقة (Deep Linking daleel://).</w:t>
      </w:r>
    </w:p>
    <w:p>
      <w:pPr>
        <w:spacing w:after="100" w:before="100"/>
      </w:pPr>
      <w:r>
        <w:rPr>
          <w:rFonts w:ascii="Arial" w:cs="Arial" w:eastAsia="Arial" w:hAnsi="Arial"/>
          <w:b w:val="false"/>
          <w:bCs w:val="false"/>
          <w:sz w:val="22"/>
          <w:szCs w:val="22"/>
        </w:rPr>
        <w:t xml:space="preserve">المرحلة 8: الاختبارات الشاملة وتجهيز حسابات المتاجر وتوليد الشهادات ونشر التطبيقات.</w:t>
      </w:r>
    </w:p>
    <w:p>
      <w:pPr>
        <w:pStyle w:val="Heading1"/>
        <w:spacing w:after="180" w:before="360"/>
      </w:pPr>
      <w:r>
        <w:t xml:space="preserve">7. قائمة التحقق النهائية (Launch Readiness Checklist)</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توحيد مصدر بيانات إعدادات الموقع بالكامل وانعكاسها على الهيدر والفوتر والصفحة الرئيسية: [مكتمل ✔]</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توفير نقطة البداية لتطبيقات الموبايل GET /api/v2/app/bootstrap: [مكتمل ✔]</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محرك استيراد وتصدير كتالوجات المنتجات CSV للتاجر: [مكتمل ✔]</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ربط بوابة SMS الحقيقية والدفع الإلكتروني: [قيد التنفيذ في المرحلة التالية]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2026-09-02T01:44:25.226Z</dcterms:created>
  <dcterms:modified xsi:type="dcterms:W3CDTF">2026-09-02T01:44:25.227Z</dcterms:modified>
</cp:coreProperties>
</file>

<file path=docProps/custom.xml><?xml version="1.0" encoding="utf-8"?>
<Properties xmlns="http://schemas.openxmlformats.org/officeDocument/2006/custom-properties" xmlns:vt="http://schemas.openxmlformats.org/officeDocument/2006/docPropsVTypes"/>
</file>