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62F01">
      <w:pPr>
        <w:pStyle w:val="31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 方法</w:t>
      </w:r>
    </w:p>
    <w:p w14:paraId="5C4615F9">
      <w:pPr>
        <w:ind w:firstLine="440"/>
        <w:jc w:val="both"/>
        <w:rPr>
          <w:lang w:eastAsia="zh-CN"/>
        </w:rPr>
      </w:pPr>
      <w:r>
        <w:rPr>
          <w:lang w:eastAsia="zh-CN"/>
        </w:rPr>
        <w:t>本文研究加密流量的开集分类，采用三视图表示学习与经验支撑估计相解耦的框架。字节序列、流交互图和字节图分支首先在已知类别上进行监督学习；随后，固定等权特征融合构建统一表示；最后，以类别经验质心和类内近邻为参照，形成全局与局部组合的拒识分数。类别判别由分类头完成，未知拒识由独立校准的距离分数完成。已有编码器与图构造方法作为表征组件，本文的方法重点是其分阶段组合及冻结表示上的经验支撑判定，不将基础模型本身作为新提出的结构。</w:t>
      </w:r>
    </w:p>
    <w:p w14:paraId="07C5DEC8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3.1 问题定义与符号约定</w:t>
      </w:r>
    </w:p>
    <w:p w14:paraId="4D0052A8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设已知类别集合为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={1,…,C}，其中 C 为已知类别数；未知类别集合为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U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，且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U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=∅。已知训练集为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tr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={(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)}，已知验证集为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val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，其中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表示一条双向流。测试集包含已知和未知类别，但未知类别不进入当前冻结任务的参数训练或阈值校准。目标是在保留已知类别判别的同时，将不被已知训练分布充分支持的样本输出为统一未知标记 ⊥：</w:t>
      </w:r>
    </w:p>
    <w:p w14:paraId="206FD31F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r>
          <m:rPr/>
          <w:rPr>
            <w:rFonts w:ascii="Cambria Math" w:hAnsi="Cambria Math"/>
          </w:rPr>
          <m:t xml:space="preserve">f: </m:t>
        </m:r>
        <m:r>
          <m:rPr>
            <m:scr m:val="script"/>
          </m:rPr>
          <w:rPr>
            <w:rFonts w:ascii="Cambria Math" w:hAnsi="Cambria Math"/>
          </w:rPr>
          <m:t xml:space="preserve">X →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∪ {⊥},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∩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= ∅</m:t>
        </m:r>
      </m:oMath>
      <w:r>
        <w:tab/>
      </w:r>
      <w:r>
        <w:t>(1)</w:t>
      </w:r>
    </w:p>
    <w:p w14:paraId="7D0308CD">
      <w:pPr>
        <w:ind w:firstLine="440"/>
        <w:jc w:val="both"/>
        <w:rPr>
          <w:lang w:eastAsia="zh-CN"/>
        </w:rPr>
      </w:pPr>
      <w:r>
        <w:rPr>
          <w:lang w:eastAsia="zh-CN"/>
        </w:rPr>
        <w:t>未知性由训练任务的类别范围定义，而不等同于恶意性。未参与训练的正常应用也可能属于未知类别；同样，训练集中包含的攻击类型属于已知类别。表 1 汇总主要符号，其余符号在首次出现时定义。</w:t>
      </w:r>
    </w:p>
    <w:p w14:paraId="787597AE">
      <w:pPr>
        <w:keepNext/>
        <w:spacing w:before="120"/>
        <w:jc w:val="center"/>
      </w:pPr>
      <w:r>
        <w:t>表 1 主要符号及定义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031B386A">
        <w:trPr>
          <w:cantSplit/>
          <w:tblHeader/>
          <w:jc w:val="center"/>
        </w:trPr>
        <w:tc>
          <w:tcPr>
            <w:tcW w:w="2608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248EE1D">
            <w:pPr>
              <w:spacing w:before="60" w:after="60" w:line="269" w:lineRule="auto"/>
              <w:jc w:val="center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w="6463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2E3AAC5">
            <w:pPr>
              <w:spacing w:before="60" w:after="60" w:line="269" w:lineRule="auto"/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14:paraId="750A67E1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FDCC0">
            <w:pPr>
              <w:spacing w:before="60" w:after="60" w:line="269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val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8BF8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已知类别集合、已知训练集及已知验证集</w:t>
            </w:r>
          </w:p>
        </w:tc>
      </w:tr>
      <w:tr w14:paraId="4FC9F506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02B2F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v∈{t,g,y}；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(x)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869C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视图编号；编码器输出，维数分别为 768、128、192</w:t>
            </w:r>
          </w:p>
        </w:tc>
      </w:tr>
      <w:tr w14:paraId="11867006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9C5AB">
            <w:pPr>
              <w:spacing w:before="60" w:after="60" w:line="269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(x)，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(x)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0E679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64 维适配均值与对数方差；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  <w:lang w:eastAsia="zh-CN"/>
              </w:rPr>
              <w:t xml:space="preserve">=log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  <w:lang w:eastAsia="zh-CN"/>
              </w:rPr>
              <w:t>²</w:t>
            </w:r>
          </w:p>
        </w:tc>
      </w:tr>
      <w:tr w14:paraId="7E0D86E8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45544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r(x)，h(x)，ℓ(x)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80FA9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192 维拼接表示、128 维融合特征及 C 维分类 logits</w:t>
            </w:r>
          </w:p>
        </w:tc>
      </w:tr>
      <w:tr w14:paraId="7852583C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D5B2E">
            <w:pPr>
              <w:spacing w:before="60" w:after="60" w:line="269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，c*(x)，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cls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(x)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FD8F0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类别经验质心、最近质心类别及分类头预测类别</w:t>
            </w:r>
          </w:p>
        </w:tc>
      </w:tr>
      <w:tr w14:paraId="77AE6D8C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FE91D">
            <w:pPr>
              <w:spacing w:before="60" w:after="60" w:line="269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(x)，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(x)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EC5FE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最近质心平方距离及类内 10 近邻欧氏距离均值</w:t>
            </w:r>
          </w:p>
        </w:tc>
      </w:tr>
      <w:tr w14:paraId="7CB97668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9AD909D">
            <w:pPr>
              <w:spacing w:before="60" w:after="60" w:line="269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MAD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sz w:val="19"/>
              </w:rPr>
              <w:t>，s(x)，τ</w:t>
            </w:r>
          </w:p>
        </w:tc>
        <w:tc>
          <w:tcPr>
            <w:tcW w:w="6463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291C183">
            <w:pPr>
              <w:spacing w:before="60" w:after="6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验证分数中位数、MAD、组合未知分数及拒识阈值</w:t>
            </w:r>
          </w:p>
        </w:tc>
      </w:tr>
    </w:tbl>
    <w:p w14:paraId="72008058">
      <w:pPr>
        <w:spacing w:after="0"/>
        <w:rPr>
          <w:lang w:eastAsia="zh-CN"/>
        </w:rPr>
      </w:pPr>
    </w:p>
    <w:p w14:paraId="1848A6E2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3.2 流级预处理与三视图编码</w:t>
      </w:r>
    </w:p>
    <w:p w14:paraId="3636E9C5">
      <w:pPr>
        <w:ind w:firstLine="440"/>
        <w:jc w:val="both"/>
        <w:rPr>
          <w:lang w:eastAsia="zh-CN"/>
        </w:rPr>
      </w:pPr>
      <w:r>
        <w:rPr>
          <w:lang w:eastAsia="zh-CN"/>
        </w:rPr>
        <w:t>以冻结数据清单中的双向流标识为样本单位，依据源地址与端口、目的地址与端口及传输协议确定方向配对。对具有会话标识的数据，保持清单中的会话边界，避免将重复五元组的不同连接重新合并。以首报文发送方向为正向，按时间戳</w:t>
      </w:r>
      <w:r>
        <w:rPr>
          <w:rFonts w:hint="eastAsia"/>
          <w:lang w:eastAsia="zh-CN"/>
        </w:rPr>
        <w:t>进行</w:t>
      </w:r>
      <w:r>
        <w:rPr>
          <w:lang w:eastAsia="zh-CN"/>
        </w:rPr>
        <w:t>排序。三个视图均由同一流生成，训练和推理时核对流标识及标签的逐行对应关系。空流不进入编码；非空短流予以保留，各视图的缺失位置按各自规则补齐。</w:t>
      </w:r>
    </w:p>
    <w:p w14:paraId="1F0E3674">
      <w:pPr>
        <w:ind w:firstLine="440"/>
        <w:jc w:val="both"/>
        <w:rPr>
          <w:rFonts w:hint="eastAsia"/>
          <w:lang w:val="en-US" w:eastAsia="zh-CN"/>
        </w:rPr>
      </w:pPr>
    </w:p>
    <w:p w14:paraId="35B2A8A9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特征提取</w:t>
      </w:r>
    </w:p>
    <w:p w14:paraId="5BB016CE">
      <w:pPr>
        <w:ind w:firstLine="440"/>
        <w:jc w:val="both"/>
        <w:rPr>
          <w:lang w:eastAsia="zh-CN"/>
        </w:rPr>
      </w:pPr>
    </w:p>
    <w:p w14:paraId="0CAB79BB">
      <w:pPr>
        <w:ind w:firstLine="440"/>
        <w:jc w:val="both"/>
        <w:rPr>
          <w:lang w:eastAsia="zh-CN"/>
        </w:rPr>
      </w:pPr>
    </w:p>
    <w:p w14:paraId="73B2F0D9">
      <w:pPr>
        <w:pStyle w:val="4"/>
        <w:rPr>
          <w:lang w:eastAsia="zh-CN"/>
        </w:rPr>
      </w:pPr>
      <w:r>
        <w:rPr>
          <w:lang w:eastAsia="zh-CN"/>
        </w:rPr>
        <w:t>3.2.1</w:t>
      </w:r>
      <w:r>
        <w:rPr>
          <w:rFonts w:ascii="黑体" w:hAnsi="黑体" w:eastAsia="黑体"/>
          <w:lang w:eastAsia="zh-CN"/>
        </w:rPr>
        <w:t xml:space="preserve"> 字节序</w:t>
      </w:r>
      <w:r>
        <w:rPr>
          <w:lang w:eastAsia="zh-CN"/>
        </w:rPr>
        <w:t>列分支</w:t>
      </w:r>
    </w:p>
    <w:p w14:paraId="49630504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traffic应该是底层</w:t>
      </w:r>
      <w:r>
        <w:rPr>
          <w:rFonts w:hint="eastAsia"/>
          <w:color w:val="0000FF"/>
          <w:lang w:val="en-US" w:eastAsia="zh-CN"/>
        </w:rPr>
        <w:t>字节</w:t>
      </w:r>
      <w:r>
        <w:rPr>
          <w:rFonts w:hint="eastAsia"/>
          <w:lang w:val="en-US" w:eastAsia="zh-CN"/>
        </w:rPr>
        <w:t>的特征提取部分，应该围绕trafficformer文章中的编码器方法部分进行叙述。</w:t>
      </w:r>
    </w:p>
    <w:p w14:paraId="3762DB94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这部分叙述的有点太白话了，需要用学术性的语言，调用学术skill重新优化。</w:t>
      </w:r>
    </w:p>
    <w:p w14:paraId="6176DB37">
      <w:pPr>
        <w:ind w:firstLine="44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方法部分保留核心必要的数字作为，其余不必要的可以省略，以trafficformer文章为准。</w:t>
      </w:r>
    </w:p>
    <w:p w14:paraId="6C3670FC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目前的核心方法公式缺失，需要补充。</w:t>
      </w:r>
    </w:p>
    <w:p w14:paraId="32CE9D35">
      <w:pPr>
        <w:ind w:firstLine="440"/>
        <w:jc w:val="both"/>
        <w:rPr>
          <w:lang w:eastAsia="zh-CN"/>
        </w:rPr>
      </w:pPr>
      <w:r>
        <w:rPr>
          <w:lang w:eastAsia="zh-CN"/>
        </w:rPr>
        <w:t>序列分支沿用 TrafficFormer [1] 的预训练编码器。每条流最多保留前 5 个报文，每个报文从以太网头后的窗口读取至多 64 字节，生成相邻字节的十六进制二元组</w:t>
      </w:r>
      <w:r>
        <w:rPr>
          <w:rFonts w:hint="eastAsia"/>
          <w:lang w:eastAsia="zh-CN"/>
        </w:rPr>
        <w:t>。</w:t>
      </w:r>
      <w:r>
        <w:rPr>
          <w:lang w:eastAsia="zh-CN"/>
        </w:rPr>
        <w:t>加入分类标记后将序列截断或补齐至 320 个词元。提取 BERT 首词元的上下文向量作为流表示，而不是分类头的概率输出：</w:t>
      </w:r>
    </w:p>
    <w:p w14:paraId="3B71D524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TF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(T(x</m:t>
        </m:r>
        <m:r>
          <m:rPr>
            <m:scr m:val="double-struck"/>
          </m:rPr>
          <w:rPr>
            <w:rFonts w:ascii="Cambria Math" w:hAnsi="Cambria Math"/>
          </w:rPr>
          <m:t>)) ∈ ℝ⁷⁶⁸</m:t>
        </m:r>
      </m:oMath>
      <w:r>
        <w:tab/>
      </w:r>
      <w:r>
        <w:t>(2)</w:t>
      </w:r>
    </w:p>
    <w:p w14:paraId="190AAC95">
      <w:pPr>
        <w:ind w:firstLine="440"/>
        <w:jc w:val="both"/>
        <w:rPr>
          <w:lang w:eastAsia="zh-CN"/>
        </w:rPr>
      </w:pPr>
      <w:r>
        <w:rPr>
          <w:lang w:eastAsia="zh-CN"/>
        </w:rPr>
        <w:t>其中 T 为确定性的字节词元化映射，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TF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为微调后的编码器。</w:t>
      </w:r>
    </w:p>
    <w:p w14:paraId="611B7086">
      <w:pPr>
        <w:ind w:firstLine="440"/>
        <w:jc w:val="both"/>
        <w:rPr>
          <w:lang w:eastAsia="zh-CN"/>
        </w:rPr>
      </w:pPr>
    </w:p>
    <w:p w14:paraId="68FB6C6F">
      <w:pPr>
        <w:ind w:firstLine="440"/>
        <w:jc w:val="both"/>
        <w:rPr>
          <w:lang w:eastAsia="zh-CN"/>
        </w:rPr>
      </w:pPr>
    </w:p>
    <w:p w14:paraId="498B9630">
      <w:pPr>
        <w:pStyle w:val="4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3.2.2 流交互图分支</w:t>
      </w:r>
    </w:p>
    <w:p w14:paraId="4F8690A3">
      <w:pPr>
        <w:ind w:firstLine="44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流交互图主要围绕方法中的流是如何共建的，怎么构建的，形成哪些或者哪种形式的特征。</w:t>
      </w:r>
    </w:p>
    <w:p w14:paraId="6F018560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burst定义应该是最开始就定义的，需要讲明白。还需要区分三个编码器中的burst定义是否一致，需要统一。</w:t>
      </w:r>
    </w:p>
    <w:p w14:paraId="0B0D82E9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流交互图的建模思路为xxx，xxx的</w:t>
      </w:r>
      <w:r>
        <w:rPr>
          <w:lang w:eastAsia="zh-CN"/>
        </w:rPr>
        <w:t>方向连续段图建模思路 [3]。每条流的前 min(30,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) 个报文构成节点集合 V，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为原始报文数。burst 定义为同一发送方向的最大连续报文段</w:t>
      </w:r>
      <w:r>
        <w:rPr>
          <w:rFonts w:hint="eastAsia"/>
          <w:lang w:eastAsia="zh-CN"/>
        </w:rPr>
        <w:t>。</w:t>
      </w:r>
      <w:r>
        <w:rPr>
          <w:lang w:eastAsia="zh-CN"/>
        </w:rPr>
        <w:t>段内相邻节点相连；相邻段的首节点相连、末节点相连；重复边去重，得到无向图 G(x)=(V,E)。</w:t>
      </w:r>
      <w:r>
        <w:rPr>
          <w:rFonts w:hint="eastAsia"/>
          <w:lang w:val="en-US" w:eastAsia="zh-CN"/>
        </w:rPr>
        <w:t>这部分中需要举一个例子，比如xxx。</w:t>
      </w:r>
    </w:p>
    <w:p w14:paraId="0B1DE3EF">
      <w:pPr>
        <w:ind w:firstLine="440"/>
        <w:jc w:val="both"/>
        <w:rPr>
          <w:rFonts w:hint="eastAsia"/>
          <w:lang w:val="en-US" w:eastAsia="zh-CN"/>
        </w:rPr>
      </w:pPr>
      <w:r>
        <w:rPr>
          <w:lang w:eastAsia="zh-CN"/>
        </w:rPr>
        <w:t>每个节点具有 7 项属性：发送方向（正向 +1、反向 −1）、捕获长度、相对首报文的时间差、所属 burst 的报文数及捕获总字节数、当前 burst 与前一 burst 的报文数比及字节数比。</w:t>
      </w:r>
      <w:r>
        <w:rPr>
          <w:rFonts w:hint="eastAsia"/>
          <w:lang w:val="en-US" w:eastAsia="zh-CN"/>
        </w:rPr>
        <w:t>这部分实际上需要弄清楚是属性还是相关特征，是不是就是节点的特征。</w:t>
      </w:r>
    </w:p>
    <w:p w14:paraId="29425F65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工程性的优化不需要写入方法论中，主要讲方法，撰写的时候调用写论文的skill。</w:t>
      </w:r>
    </w:p>
    <w:p w14:paraId="5AAEF8F1">
      <w:pPr>
        <w:ind w:firstLine="440"/>
        <w:jc w:val="both"/>
        <w:rPr>
          <w:rFonts w:hint="eastAsia"/>
          <w:lang w:val="en-US" w:eastAsia="zh-CN"/>
        </w:rPr>
      </w:pPr>
    </w:p>
    <w:p w14:paraId="246271A2">
      <w:pPr>
        <w:ind w:firstLine="440"/>
        <w:jc w:val="both"/>
        <w:rPr>
          <w:rFonts w:hint="eastAsia"/>
          <w:lang w:val="en-US" w:eastAsia="zh-CN"/>
        </w:rPr>
      </w:pPr>
    </w:p>
    <w:p w14:paraId="2063E576">
      <w:pPr>
        <w:ind w:firstLine="440"/>
        <w:jc w:val="both"/>
        <w:rPr>
          <w:lang w:eastAsia="zh-CN"/>
        </w:rPr>
      </w:pPr>
      <w:r>
        <w:rPr>
          <w:lang w:eastAsia="zh-CN"/>
        </w:rPr>
        <w:t>首段的两项比值置零；前段总字节数为零时字节比按零处理。节点属性以已知训练集真实节点的逐维统计量标准化；验证、测试复用该统计量。</w:t>
      </w:r>
    </w:p>
    <w:p w14:paraId="336697EA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r>
          <m:rPr/>
          <w:rPr>
            <w:rFonts w:ascii="Cambria Math" w:hAnsi="Cambria Math"/>
          </w:rPr>
          <m:t>Â=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−1/2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(A+I)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−1/2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(A+I)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tab/>
      </w:r>
      <w:r>
        <w:t>(3)</w:t>
      </w:r>
    </w:p>
    <w:p w14:paraId="01DEC0C1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r>
          <m:rPr/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ReLU</m:t>
        </m:r>
        <m:r>
          <m:rPr/>
          <w:rPr>
            <w:rFonts w:ascii="Cambria Math" w:hAnsi="Cambria Math"/>
          </w:rPr>
          <m:t>(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k=0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Â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+b)</m:t>
        </m:r>
      </m:oMath>
      <w:r>
        <w:tab/>
      </w:r>
      <w:r>
        <w:t>(4)</w:t>
      </w:r>
    </w:p>
    <w:p w14:paraId="5995704C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|V|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u∈V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H[u,:]</m:t>
            </m:r>
            <m:ctrlPr>
              <w:rPr>
                <w:rFonts w:ascii="Cambria Math" w:hAnsi="Cambria Math"/>
              </w:rPr>
            </m:ctrlPr>
          </m:e>
        </m:nary>
        <m:r>
          <m:rPr>
            <m:scr m:val="double-struck"/>
          </m:rPr>
          <w:rPr>
            <w:rFonts w:ascii="Cambria Math" w:hAnsi="Cambria Math"/>
          </w:rPr>
          <m:t xml:space="preserve"> ∈ ℝ¹²⁸</m:t>
        </m:r>
      </m:oMath>
      <w:r>
        <w:tab/>
      </w:r>
      <w:r>
        <w:t>(5)</w:t>
      </w:r>
    </w:p>
    <w:p w14:paraId="5501F8B0">
      <w:pPr>
        <w:ind w:firstLine="440"/>
        <w:jc w:val="both"/>
        <w:rPr>
          <w:lang w:eastAsia="zh-CN"/>
        </w:rPr>
      </w:pPr>
      <w:r>
        <w:rPr>
          <w:lang w:eastAsia="zh-CN"/>
        </w:rPr>
        <w:t>A∈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zh-CN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|V|×|V|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为邻接矩阵，I 为单位阵，D 为 A+I 的度矩阵，X∈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zh-CN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|V|×7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为标准化节点属性矩阵，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zh-CN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7×128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为第 k 阶投影，b∈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zh-CN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128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为偏置。采用 K=2 的 TAGCN，并在 ReLU 后施加概率为 0.5 的 dropout。上式读出均值在推理时计算；训练时对施加 dropout 后的节点表示作同样读出。批次补齐节点保持隔离并由掩码排除，单节点图加自环后仍可编码。</w:t>
      </w:r>
    </w:p>
    <w:p w14:paraId="47AE6A0E">
      <w:pPr>
        <w:pStyle w:val="4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3.2.3 字节图分支</w:t>
      </w:r>
    </w:p>
    <w:p w14:paraId="18086B04">
      <w:pPr>
        <w:ind w:firstLine="44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开头需要以动机来引入，为了xxxx，因为xxxx，我们xxxx。</w:t>
      </w:r>
    </w:p>
    <w:p w14:paraId="4D7C26E5">
      <w:pPr>
        <w:ind w:firstLine="44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要围绕论文去说，不要直接围绕工程性质的语言去说，不要直接就是采用xxx方法，要说如何去做。</w:t>
      </w:r>
      <w:bookmarkStart w:id="0" w:name="_GoBack"/>
      <w:bookmarkEnd w:id="0"/>
    </w:p>
    <w:p w14:paraId="09276711">
      <w:pPr>
        <w:ind w:firstLine="440"/>
        <w:jc w:val="both"/>
        <w:rPr>
          <w:lang w:eastAsia="zh-CN"/>
        </w:rPr>
      </w:pPr>
      <w:r>
        <w:rPr>
          <w:lang w:eastAsia="zh-CN"/>
        </w:rPr>
        <w:t>字节图分支采用 YaTC [4] 的多层级流表示及预训练编码器。前 5 个报文分别保留固定 80 字节头部区域与 240 字节载荷区域，区域不足时补零，再拼接为 1600 字节并排列为 40×40 单通道图。字节值除以 255 后线性归一化至 [−1,1]。含 IPv6 的冻结任务遵循相同区域长度的兼容规则，作为与原作者 IPv4 数据处理的差异记录。</w:t>
      </w:r>
    </w:p>
    <w:p w14:paraId="47A9B1B2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YaTC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(B(x</m:t>
        </m:r>
        <m:r>
          <m:rPr>
            <m:scr m:val="double-struck"/>
          </m:rPr>
          <w:rPr>
            <w:rFonts w:ascii="Cambria Math" w:hAnsi="Cambria Math"/>
          </w:rPr>
          <m:t xml:space="preserve">)) ∈ ℝ¹⁹²,    </m:t>
        </m:r>
        <m:r>
          <m:rPr/>
          <w:rPr>
            <w:rFonts w:ascii="Cambria Math" w:hAnsi="Cambria Math"/>
          </w:rPr>
          <m:t>B(x</m:t>
        </m:r>
        <m:r>
          <m:rPr>
            <m:scr m:val="double-struck"/>
          </m:rPr>
          <w:rPr>
            <w:rFonts w:ascii="Cambria Math" w:hAnsi="Cambria Math"/>
          </w:rPr>
          <m:t>)∈ℝ⁴⁰ˣ⁴⁰</m:t>
        </m:r>
      </m:oMath>
      <w:r>
        <w:tab/>
      </w:r>
      <w:r>
        <w:t>(6)</w:t>
      </w:r>
    </w:p>
    <w:p w14:paraId="5412CE2F">
      <w:pPr>
        <w:ind w:firstLine="440"/>
        <w:jc w:val="both"/>
        <w:rPr>
          <w:lang w:eastAsia="zh-CN"/>
        </w:rPr>
      </w:pPr>
      <w:r>
        <w:rPr>
          <w:lang w:eastAsia="zh-CN"/>
        </w:rPr>
        <w:t>其中 B 为报文到字节图的确定性映射。三路分别产生 768、128、192 维表示。多视图配置提供不同表征的组合，不预设各视图贡献相等，也不将对加密字节及头部的建模解释为明文解密。</w:t>
      </w:r>
    </w:p>
    <w:p w14:paraId="707CB6B7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3.3 高斯适配与确定性等权融合</w:t>
      </w:r>
    </w:p>
    <w:p w14:paraId="7B7A7BEB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对每一路编码特征，以已知训练集计算逐维均值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和总体标准差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，标准差小于 10⁻⁸ 的维度按 1 处理。后续运算均逐维执行：</w:t>
      </w:r>
    </w:p>
    <w:p w14:paraId="24F0E6E0">
      <w:pPr>
        <w:keepLines/>
        <w:tabs>
          <w:tab w:val="center" w:pos="4535"/>
          <w:tab w:val="right" w:pos="9071"/>
        </w:tabs>
        <w:spacing w:before="60" w:after="140" w:line="276" w:lineRule="auto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z̃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(x)=(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(x)−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,    v∈{t,g,y}</m:t>
        </m:r>
      </m:oMath>
      <w:r>
        <w:rPr>
          <w:lang w:eastAsia="zh-CN"/>
        </w:rPr>
        <w:tab/>
      </w:r>
      <w:r>
        <w:rPr>
          <w:lang w:eastAsia="zh-CN"/>
        </w:rPr>
        <w:t>(7)</w:t>
      </w:r>
    </w:p>
    <w:p w14:paraId="48D5E6A2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标准化表示经过两层 128 维 ReLU 全连接网络，输出均值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(x)∈ℝ⁶⁴ 和对数方差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(x)∈ℝ⁶⁴，其中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限制在 [−8,4]。由此定义对角高斯适配分布：</w:t>
      </w:r>
    </w:p>
    <w:p w14:paraId="50FDA4B9">
      <w:pPr>
        <w:keepLines/>
        <w:tabs>
          <w:tab w:val="center" w:pos="4535"/>
          <w:tab w:val="right" w:pos="9071"/>
        </w:tabs>
        <w:spacing w:before="60" w:after="140" w:line="276" w:lineRule="auto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(u|x)=</m:t>
        </m:r>
        <m:r>
          <m:rPr>
            <m:scr m:val="script"/>
          </m:rPr>
          <w:rPr>
            <w:rFonts w:ascii="Cambria Math" w:hAnsi="Cambria Math"/>
            <w:lang w:eastAsia="zh-CN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(x),</m:t>
        </m:r>
        <m:r>
          <m:rPr>
            <m:sty m:val="p"/>
          </m:rPr>
          <w:rPr>
            <w:rFonts w:ascii="Cambria Math" w:hAnsi="Cambria Math"/>
            <w:lang w:eastAsia="zh-CN"/>
          </w:rPr>
          <m:t>diag</m:t>
        </m:r>
        <m:r>
          <m:rPr/>
          <w:rPr>
            <w:rFonts w:ascii="Cambria Math" w:hAnsi="Cambria Math"/>
            <w:lang w:eastAsia="zh-CN"/>
          </w:rPr>
          <m:t>(exp(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(x))))</m:t>
        </m:r>
      </m:oMath>
      <w:r>
        <w:rPr>
          <w:lang w:eastAsia="zh-CN"/>
        </w:rPr>
        <w:tab/>
      </w:r>
      <w:r>
        <w:rPr>
          <w:lang w:eastAsia="zh-CN"/>
        </w:rPr>
        <w:t>(8)</w:t>
      </w:r>
    </w:p>
    <w:p w14:paraId="2DA53F2D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(xᵢ) + exp(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(xᵢ)/2)⊙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iv</m:t>
            </m:r>
            <m:ctrlPr>
              <w:rPr>
                <w:rFonts w:ascii="Cambria Math" w:hAnsi="Cambria Math"/>
              </w:rPr>
            </m:ctrlP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r>
          <m:rPr/>
          <w:rPr>
            <w:rFonts w:ascii="Cambria Math" w:hAnsi="Cambria Math"/>
          </w:rPr>
          <m:t>(0,I₆₄)</m:t>
        </m:r>
      </m:oMath>
      <w:r>
        <w:tab/>
      </w:r>
      <w:r>
        <w:t>(9)</w:t>
      </w:r>
    </w:p>
    <w:p w14:paraId="37755F64">
      <w:pPr>
        <w:ind w:firstLine="440"/>
        <w:jc w:val="both"/>
        <w:rPr>
          <w:lang w:eastAsia="zh-CN"/>
        </w:rPr>
      </w:pPr>
      <w:r>
        <w:rPr>
          <w:lang w:eastAsia="zh-CN"/>
        </w:rPr>
        <w:t>⊙ 表示逐元素乘法，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为独立标准正态噪声。适配器训练时对每个样本、每个视图进行一次重参数化采样，采样表示接独立线性分类器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。设当前批次大小为 M、适配维数为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u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=64、正则系数为 </w:t>
      </w:r>
      <w:r>
        <w:t>β</w:t>
      </w:r>
      <w:r>
        <w:rPr>
          <w:lang w:eastAsia="zh-CN"/>
        </w:rPr>
        <w:t>=0.05，优化目标为：</w:t>
      </w:r>
    </w:p>
    <w:p w14:paraId="2CD94217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adapt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3M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/>
                  </w:rPr>
                  <m:t>v∈{t,g,y}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ascii="Cambria Math" w:hAnsi="Cambria Math"/>
                  </w:rPr>
                  <m:t>[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iv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CE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</w:rPr>
                  <m:t>+(β/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iv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]</m:t>
                </m:r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e>
        </m:nary>
      </m:oMath>
      <w:r>
        <w:tab/>
      </w:r>
      <w:r>
        <w:t>(10)</w:t>
      </w:r>
    </w:p>
    <w:p w14:paraId="25C94021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iv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CE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 xml:space="preserve">=−log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softmax</m:t>
            </m:r>
            <m:r>
              <m:rPr/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iv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))]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(11)</w:t>
      </w:r>
    </w:p>
    <w:p w14:paraId="34ADE850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j=1</m:t>
            </m:r>
            <m:ctrlPr>
              <w:rPr>
                <w:rFonts w:ascii="Cambria Math" w:hAnsi="Cambria Math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μ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iv,j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/>
              </w:rPr>
              <m:t>+exp(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iv,j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)−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iv,j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−1]</m:t>
            </m:r>
            <m:ctrlPr>
              <w:rPr>
                <w:rFonts w:ascii="Cambria Math" w:hAnsi="Cambria Math"/>
              </w:rPr>
            </m:ctrlPr>
          </m:e>
        </m:nary>
      </m:oMath>
      <w:r>
        <w:tab/>
      </w:r>
      <w:r>
        <w:t>(12)</w:t>
      </w:r>
    </w:p>
    <w:p w14:paraId="0EB612FE">
      <w:pPr>
        <w:ind w:firstLine="44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iv,j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iv,j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分别表示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) 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) 的第 j 维分量，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(u|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) 到 𝒩(0,I₆₄) 的前向 KL 散度。正则作用于适配表示，不构造类别高斯原型，也不作为最终拒识分数。</w:t>
      </w:r>
    </w:p>
    <w:p w14:paraId="7A034A26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推理阶段关闭 dropout，使用适配均值而不采样。将三个均值以固定权重 1/3 缩放后拼接，再输入融合映射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φ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：</w:t>
      </w:r>
    </w:p>
    <w:p w14:paraId="6B4096A1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r>
          <m:rPr/>
          <w:rPr>
            <w:rFonts w:ascii="Cambria Math" w:hAnsi="Cambria Math"/>
          </w:rPr>
          <m:t>r(x)=</m:t>
        </m:r>
        <m:r>
          <m:rPr>
            <m:sty m:val="p"/>
          </m:rPr>
          <w:rPr>
            <w:rFonts w:ascii="Cambria Math" w:hAnsi="Cambria Math"/>
          </w:rPr>
          <m:t>concat</m:t>
        </m:r>
        <m:r>
          <m:rPr/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(x)/3,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(x)/3,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(x)/3)∈</m:t>
        </m:r>
        <m:r>
          <m:rPr>
            <m:scr m:val="double-struck"/>
          </m:rPr>
          <w:rPr>
            <w:rFonts w:ascii="Cambria Math" w:hAnsi="Cambria Math"/>
          </w:rPr>
          <m:t>ℝ¹⁹²</m:t>
        </m:r>
      </m:oMath>
      <w:r>
        <w:tab/>
      </w:r>
      <w:r>
        <w:t>(13)</w:t>
      </w:r>
    </w:p>
    <w:p w14:paraId="27DF7E06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r>
          <m:rPr/>
          <w:rPr>
            <w:rFonts w:ascii="Cambria Math" w:hAnsi="Cambria Math"/>
          </w:rPr>
          <m:t>h(x)=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(r(x</m:t>
        </m:r>
        <m:r>
          <m:rPr>
            <m:scr m:val="double-struck"/>
          </m:rPr>
          <w:rPr>
            <w:rFonts w:ascii="Cambria Math" w:hAnsi="Cambria Math"/>
          </w:rPr>
          <m:t xml:space="preserve">))∈ℝ¹²⁸,    </m:t>
        </m:r>
        <m:r>
          <m:rPr>
            <m:scr m:val="script"/>
          </m:rPr>
          <w:rPr>
            <w:rFonts w:ascii="Cambria Math" w:hAnsi="Cambria Math"/>
          </w:rPr>
          <m:t>l(</m:t>
        </m:r>
        <m:r>
          <m:rPr/>
          <w:rPr>
            <w:rFonts w:ascii="Cambria Math" w:hAnsi="Cambria Math"/>
          </w:rPr>
          <m:t>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cls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h(x)+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cls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(14)</w:t>
      </w:r>
    </w:p>
    <w:p w14:paraId="43F2766F">
      <w:pPr>
        <w:ind w:firstLine="44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的结构为 Linear(192,128)→ReLU→Dropout(0.1)→Linear(128,128)→ReLU；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cls</m:t>
            </m:r>
            <m:ctrlPr>
              <w:rPr>
                <w:rFonts w:ascii="Cambria Math" w:hAnsi="Cambria Math"/>
              </w:rPr>
            </m:ctrlPr>
          </m:sub>
        </m:sSub>
      </m:oMath>
      <w:r>
        <w:t>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C×128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cls</m:t>
            </m:r>
            <m:ctrlPr>
              <w:rPr>
                <w:rFonts w:ascii="Cambria Math" w:hAnsi="Cambria Math"/>
              </w:rPr>
            </m:ctrlPr>
          </m:sub>
        </m:sSub>
      </m:oMath>
      <w:r>
        <w:t>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为分类头参数，ℓ(x)∈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为 logits。</w:t>
      </w:r>
      <w:r>
        <w:rPr>
          <w:lang w:eastAsia="zh-CN"/>
        </w:rPr>
        <w:t xml:space="preserve">融合阶段固定编码器与适配器，使用已知训练交叉熵优化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φ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和分类头。</w:t>
      </w:r>
    </w:p>
    <w:p w14:paraId="47B65A63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3.4 全局与局部经验支撑分数</w:t>
      </w:r>
    </w:p>
    <w:p w14:paraId="39B66E8B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表示学习结束后冻结全部网络，在评估模式下编码已知训练集。设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={h(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):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=c,(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)∈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tr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}，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=|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|。以类内训练表示的均值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为经验质心，全局分数取最近质心的平方欧氏距离：</w:t>
      </w:r>
    </w:p>
    <w:p w14:paraId="26BB9786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Nc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‖h(x)−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‖₂²</m:t>
        </m:r>
      </m:oMath>
      <w:r>
        <w:tab/>
      </w:r>
      <w:r>
        <w:t>(15)</w:t>
      </w:r>
    </w:p>
    <w:p w14:paraId="05B0BF08">
      <w:pPr>
        <w:ind w:firstLine="440"/>
        <w:jc w:val="both"/>
        <w:rPr>
          <w:lang w:eastAsia="zh-CN"/>
        </w:rPr>
      </w:pPr>
      <w:r>
        <w:rPr>
          <w:lang w:eastAsia="zh-CN"/>
        </w:rPr>
        <w:t>经验质心由真实训练表示估计，不等同于分类头权重，也不同于端到端学习的高斯原型。平方距离仅衡量对类别总体位置的偏离，不能充分描述类内支撑不均匀的区域。为此，引入最近质心类别内的局部近邻距离：</w:t>
      </w:r>
    </w:p>
    <w:p w14:paraId="689D5717">
      <w:pPr>
        <w:keepLines/>
        <w:tabs>
          <w:tab w:val="center" w:pos="4535"/>
          <w:tab w:val="right" w:pos="9071"/>
        </w:tabs>
        <w:spacing w:before="60" w:after="140" w:line="276" w:lineRule="auto"/>
        <w:rPr>
          <w:lang w:eastAsia="zh-CN"/>
        </w:rPr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argmin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zh-CN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 xml:space="preserve"> ‖h(x)−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‖₂²</m:t>
        </m:r>
      </m:oMath>
      <w:r>
        <w:rPr>
          <w:lang w:eastAsia="zh-CN"/>
        </w:rPr>
        <w:tab/>
      </w:r>
      <w:r>
        <w:rPr>
          <w:lang w:eastAsia="zh-CN"/>
        </w:rPr>
        <w:t>(16)</w:t>
      </w:r>
    </w:p>
    <w:p w14:paraId="77230E9B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(x)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‖h(x)−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‖₂</m:t>
            </m:r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,    k=10</m:t>
        </m:r>
      </m:oMath>
      <w:r>
        <w:tab/>
      </w:r>
      <w:r>
        <w:t>(17)</w:t>
      </w:r>
    </w:p>
    <w:p w14:paraId="16F436D0">
      <w:pPr>
        <w:ind w:firstLine="44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(x) 表示最近质心类别 c*(x) 的训练表示集合中，与 h(x) 欧氏距离最小的 k 个表示；每个已知类别至少包含 k 条训练样本。局部分数采用未平方的欧氏距离均值。最近质心类别用于选择邻域库，而最终已知类别预测来自分类头，两者不强制一致。质心距离并列时遵循固定类别索引顺序；近邻距离并列不改变所选同距样本对均值的贡献。</w:t>
      </w:r>
    </w:p>
    <w:p w14:paraId="31E78F9F">
      <w:pPr>
        <w:ind w:firstLine="440"/>
        <w:jc w:val="both"/>
        <w:rPr>
          <w:lang w:eastAsia="zh-CN"/>
        </w:rPr>
      </w:pPr>
      <w:r>
        <w:rPr>
          <w:lang w:eastAsia="zh-CN"/>
        </w:rPr>
        <w:t>局部距离补充真实样本邻域信息，可用于识别接近类均值但缺乏近邻支持的输入。该分数属于经验几何度量，不是归一化概率密度，因而不保证未知类别与已知类别在表征空间中可分。</w:t>
      </w:r>
    </w:p>
    <w:p w14:paraId="1B7D9A3C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3.5 稳健校准与拒识规则</w:t>
      </w:r>
    </w:p>
    <w:p w14:paraId="3C92B09C">
      <w:pPr>
        <w:ind w:firstLine="440"/>
        <w:jc w:val="both"/>
        <w:rPr>
          <w:lang w:eastAsia="zh-CN"/>
        </w:rPr>
      </w:pPr>
      <w:r>
        <w:rPr>
          <w:lang w:eastAsia="zh-CN"/>
        </w:rPr>
        <w:t>全局平方距离和局部欧氏距离的数值尺度不同。分别在已知验证集计算校准参数，令 a∈{G,L}、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={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(x):x∈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val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}：</w:t>
      </w:r>
    </w:p>
    <w:p w14:paraId="628E2F14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median</m:t>
        </m:r>
        <m:r>
          <m:rPr/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),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MAD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median</m:t>
        </m:r>
        <m:r>
          <m:rPr/>
          <w:rPr>
            <w:rFonts w:ascii="Cambria Math" w:hAnsi="Cambria Math"/>
          </w:rPr>
          <m:t>({|u−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|:u∈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})</m:t>
        </m:r>
      </m:oMath>
      <w:r>
        <w:tab/>
      </w:r>
      <w:r>
        <w:t>(18)</w:t>
      </w:r>
    </w:p>
    <w:p w14:paraId="03B10D60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(x)−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MAD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+ε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,    ε=10⁻⁸</m:t>
        </m:r>
      </m:oMath>
      <w:r>
        <w:tab/>
      </w:r>
      <w:r>
        <w:t>(19)</w:t>
      </w:r>
    </w:p>
    <w:p w14:paraId="3A5AE00F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r>
          <m:rPr/>
          <w:rPr>
            <w:rFonts w:ascii="Cambria Math" w:hAnsi="Cambria Math"/>
          </w:rPr>
          <m:t>s(x)=λ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(x)+(1−λ)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(x),    λ=0.5</m:t>
        </m:r>
      </m:oMath>
      <w:r>
        <w:tab/>
      </w:r>
      <w:r>
        <w:t>(20)</w:t>
      </w:r>
    </w:p>
    <w:p w14:paraId="4B528487">
      <w:pPr>
        <w:ind w:firstLine="440"/>
        <w:jc w:val="both"/>
        <w:rPr>
          <w:lang w:eastAsia="zh-CN"/>
        </w:rPr>
      </w:pPr>
      <w:r>
        <w:rPr>
          <w:lang w:eastAsia="zh-CN"/>
        </w:rPr>
        <w:t>MAD 不乘正态一致性系数；</w:t>
      </w:r>
      <w:r>
        <w:t>ε</w:t>
      </w:r>
      <w:r>
        <w:rPr>
          <w:lang w:eastAsia="zh-CN"/>
        </w:rPr>
        <w:t xml:space="preserve"> 是数值稳定项，不是通过未知测试选择的超参数。s(x) 越大表示输入越偏离已知经验支撑，分数可为负，不具有概率含义。</w:t>
      </w:r>
      <w:r>
        <w:t>λ</w:t>
      </w:r>
      <w:r>
        <w:rPr>
          <w:lang w:eastAsia="zh-CN"/>
        </w:rPr>
        <w:t>=0.5 在测试前固定，未利用未知样本优化。这里的“支撑”指</w:t>
      </w:r>
      <w:r>
        <w:rPr>
          <w:rFonts w:hint="eastAsia"/>
          <w:lang w:eastAsia="zh-CN"/>
        </w:rPr>
        <w:t>的是</w:t>
      </w:r>
      <w:r>
        <w:rPr>
          <w:lang w:eastAsia="zh-CN"/>
        </w:rPr>
        <w:t>训练样本诱导的经验邻域，而不是对真实分布数学支撑集的精确恢复。</w:t>
      </w:r>
    </w:p>
    <w:p w14:paraId="37B30A28">
      <w:pPr>
        <w:ind w:firstLine="440"/>
        <w:jc w:val="both"/>
        <w:rPr>
          <w:lang w:eastAsia="zh-CN"/>
        </w:rPr>
      </w:pPr>
      <w:r>
        <w:rPr>
          <w:lang w:eastAsia="zh-CN"/>
        </w:rPr>
        <w:t>以已知验证分数的 P95 设定阈值，采用 NumPy 的 higher 分位数约定。若 m=|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val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|，验证分数排序为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(1)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≤…≤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(m)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，则其精确位置及决策为：</w:t>
      </w:r>
    </w:p>
    <w:p w14:paraId="6A997593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r>
          <m:rPr/>
          <w:rPr>
            <w:rFonts w:ascii="Cambria Math" w:hAnsi="Cambria Math"/>
          </w:rPr>
          <m:t>τ=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(j)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    j=1+⌈(m−1)(1−α)⌉,    α=0.05</m:t>
        </m:r>
      </m:oMath>
      <w:r>
        <w:tab/>
      </w:r>
      <w:r>
        <w:t>(21)</w:t>
      </w:r>
    </w:p>
    <w:p w14:paraId="1C406877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ĉ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cls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argmax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ab/>
      </w:r>
      <w:r>
        <w:t>(22)</w:t>
      </w:r>
    </w:p>
    <w:p w14:paraId="6DF44B75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r>
          <m:rPr/>
          <w:rPr>
            <w:rFonts w:ascii="Cambria Math" w:hAnsi="Cambria Math"/>
          </w:rPr>
          <m:t>f(x)=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ĉ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cls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(x), s(x)≤τ;    f(x)=⊥, s(x)&gt;τ</m:t>
        </m:r>
      </m:oMath>
      <w:r>
        <w:tab/>
      </w:r>
      <w:r>
        <w:t>(23)</w:t>
      </w:r>
    </w:p>
    <w:p w14:paraId="4FFFCA7A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相同分数在阈值处按已知接受。higher 规则及分数并列使验证集经验拒识率可能低于名义值 </w:t>
      </w:r>
      <w:r>
        <w:t>α</w:t>
      </w:r>
      <w:r>
        <w:rPr>
          <w:lang w:eastAsia="zh-CN"/>
        </w:rPr>
        <w:t>。该阈值不提供未来测试分布上的误拒概率保证；尤其是同一已知验证集同时承担检查点选择与校准时，不将其解释为独立保形校准。未知测试标签不得用于重新设定阈值、融合权重或模型检查点。</w:t>
      </w:r>
    </w:p>
    <w:p w14:paraId="230797A5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3.6 基线与同表示分数对照</w:t>
      </w:r>
    </w:p>
    <w:p w14:paraId="755148F0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采用 Open-Detect [5] 作为主要系统基线。匹配比较使用相同流标识、角色划分及已知／未知类别组合。基线以 32×32 单通道字节图输入 ResNet18 编码器，后验潜在维数为 128，每个已知类别具有一个可学习原型均值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，并采用单位协方差类别先验。其原生拒识分数为：</w:t>
      </w:r>
    </w:p>
    <w:p w14:paraId="4A6821A3">
      <w:pPr>
        <w:keepLines/>
        <w:tabs>
          <w:tab w:val="center" w:pos="4535"/>
          <w:tab w:val="right" w:pos="9071"/>
        </w:tabs>
        <w:spacing w:before="60" w:after="140" w:line="276" w:lineRule="auto"/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zh-CN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 xml:space="preserve"> </m:t>
        </m:r>
        <m:r>
          <m:rPr>
            <m:sty m:val="p"/>
          </m:rPr>
          <w:rPr>
            <w:rFonts w:ascii="Cambria Math" w:hAnsi="Cambria Math"/>
            <w:lang w:eastAsia="zh-CN"/>
          </w:rPr>
          <m:t>KL</m:t>
        </m:r>
        <m:r>
          <m:rPr/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 xml:space="preserve">(z|x) ∥ </m:t>
        </m:r>
        <m:r>
          <m:rPr>
            <m:scr m:val="script"/>
          </m:rPr>
          <w:rPr>
            <w:rFonts w:ascii="Cambria Math" w:hAnsi="Cambria Math"/>
            <w:lang w:eastAsia="zh-CN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,I₁₂₈))</m:t>
        </m:r>
      </m:oMath>
      <w:r>
        <w:rPr>
          <w:lang w:eastAsia="zh-CN"/>
        </w:rPr>
        <w:tab/>
      </w:r>
      <w:r>
        <w:rPr>
          <w:lang w:eastAsia="zh-CN"/>
        </w:rPr>
        <w:t>(24)</w:t>
      </w:r>
    </w:p>
    <w:p w14:paraId="17DF4D33">
      <w:pPr>
        <w:ind w:firstLine="440"/>
        <w:jc w:val="both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OD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为基线编码器的对角高斯后验，前向 KL 的方向为“样本后验到类别先验”。基线联合优化重构、条件先验与判别约束。在匹配协议中采用 Adam、学习率 10⁻³、批大小 128、100 轮训练和生成约束权重 0.005，以已知验证准确率选择检查点；拒识阈值同样由已知验证分数的 P95 冻结。这里报告的是按发布实现重建的匹配系统，不声称复现作者未公开的原始折划分或检查点。</w:t>
      </w:r>
    </w:p>
    <w:p w14:paraId="6CA14EFA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为分离表示质量与拒识规则的影响，在相同 h(x) 和 ℓ(x) 上比较 DES-v0、MSP 与能量三个分数。其中 DES-v0 直接使用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(x)，其阈值独立校准；另两项定义为：</w:t>
      </w:r>
    </w:p>
    <w:p w14:paraId="035FC888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MSP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softmax</m:t>
            </m:r>
            <m:r>
              <m:rPr>
                <m:scr m:val="script"/>
              </m:rPr>
              <w:rPr>
                <w:rFonts w:ascii="Cambria Math" w:hAnsi="Cambria Math"/>
              </w:rPr>
              <m:t>(l(</m:t>
            </m:r>
            <m:r>
              <m:rPr/>
              <w:rPr>
                <w:rFonts w:ascii="Cambria Math" w:hAnsi="Cambria Math"/>
              </w:rPr>
              <m:t>x))]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(25)</w:t>
      </w:r>
    </w:p>
    <w:p w14:paraId="0C9CB8B1">
      <w:pPr>
        <w:keepLines/>
        <w:tabs>
          <w:tab w:val="center" w:pos="4535"/>
          <w:tab w:val="right" w:pos="9071"/>
        </w:tabs>
        <w:spacing w:before="60" w:after="140" w:line="276" w:lineRule="auto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(x)=−</m:t>
        </m:r>
        <m:r>
          <m:rPr>
            <m:sty m:val="p"/>
          </m:rPr>
          <w:rPr>
            <w:rFonts w:ascii="Cambria Math" w:hAnsi="Cambria Math"/>
          </w:rPr>
          <m:t>log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c∈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r>
              <m:rPr/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(x))</m:t>
            </m:r>
            <m:ctrlPr>
              <w:rPr>
                <w:rFonts w:ascii="Cambria Math" w:hAnsi="Cambria Math"/>
              </w:rPr>
            </m:ctrlPr>
          </m:e>
        </m:nary>
      </m:oMath>
      <w:r>
        <w:tab/>
      </w:r>
      <w:r>
        <w:t>(26)</w:t>
      </w:r>
    </w:p>
    <w:p w14:paraId="73660303">
      <w:pPr>
        <w:ind w:firstLine="440"/>
        <w:jc w:val="both"/>
        <w:rPr>
          <w:lang w:eastAsia="zh-CN"/>
        </w:rPr>
      </w:pPr>
      <w:r>
        <w:rPr>
          <w:lang w:eastAsia="zh-CN"/>
        </w:rPr>
        <w:t>能量分数的温度固定为 1，采用 log-sum-exp 的数值稳定实现。所有分数统一以较大值表示较强未知性，各自在已知验证集校准阈值。MSP 和能量仅作为对照，不与 DES-v1 额外集成。Open-Detect 从随机初始化训练，本方法部分分支使用预训练权重，因此主比较属于完整系统比较；若要孤立归因于结构或分数，应进一步匹配初始化与训练预算。</w:t>
      </w:r>
    </w:p>
    <w:p w14:paraId="2B8E8A72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3.7 训练协议与推理开销</w:t>
      </w:r>
    </w:p>
    <w:p w14:paraId="1661F0BD">
      <w:pPr>
        <w:ind w:firstLine="440"/>
        <w:jc w:val="both"/>
      </w:pPr>
      <w:r>
        <w:rPr>
          <w:lang w:eastAsia="zh-CN"/>
        </w:rPr>
        <w:t>训练分为编码器、适配器、融合头三个阶段。首先分别在已知训练集微调 TrafficFormer、YaTC，并从随机初始化训练 TAGCN；选定检查点后导出各分支表示。其次冻结编码器，按适配目标训练三路高斯适配器。最后冻结编码器和适配器，以交叉熵训练融合映射及分类头。适配器检查点由已知验证集三路单分支 Macro-F1 均值选择，融合头由已知验证 Macro-F1 选择，YaTC 沿用其 Weighted-F1 选点规则。</w:t>
      </w:r>
      <w:r>
        <w:t>主要配方见表 2。</w:t>
      </w:r>
    </w:p>
    <w:p w14:paraId="465D346A">
      <w:pPr>
        <w:keepNext/>
        <w:spacing w:before="120"/>
        <w:jc w:val="center"/>
      </w:pPr>
      <w:r>
        <w:t>表 2 冻结训练配方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835"/>
        <w:gridCol w:w="3118"/>
      </w:tblGrid>
      <w:tr w14:paraId="24BC00BF">
        <w:trPr>
          <w:cantSplit/>
          <w:tblHeader/>
          <w:jc w:val="center"/>
        </w:trPr>
        <w:tc>
          <w:tcPr>
            <w:tcW w:w="1701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00B0915E">
            <w:pPr>
              <w:spacing w:before="60" w:after="60" w:line="269" w:lineRule="auto"/>
              <w:jc w:val="center"/>
            </w:pPr>
            <w:r>
              <w:rPr>
                <w:b/>
                <w:sz w:val="19"/>
              </w:rPr>
              <w:t>部件</w:t>
            </w:r>
          </w:p>
        </w:tc>
        <w:tc>
          <w:tcPr>
            <w:tcW w:w="1417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0C561DF">
            <w:pPr>
              <w:spacing w:before="60" w:after="60" w:line="269" w:lineRule="auto"/>
              <w:jc w:val="center"/>
            </w:pPr>
            <w:r>
              <w:rPr>
                <w:b/>
                <w:sz w:val="19"/>
              </w:rPr>
              <w:t>轮数／批大小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F486D9E">
            <w:pPr>
              <w:spacing w:before="60" w:after="60" w:line="269" w:lineRule="auto"/>
              <w:jc w:val="center"/>
            </w:pPr>
            <w:r>
              <w:rPr>
                <w:b/>
                <w:sz w:val="19"/>
              </w:rPr>
              <w:t>优化器与学习率</w:t>
            </w:r>
          </w:p>
        </w:tc>
        <w:tc>
          <w:tcPr>
            <w:tcW w:w="3118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8A2484A">
            <w:pPr>
              <w:spacing w:before="60" w:after="60" w:line="269" w:lineRule="auto"/>
              <w:ind w:firstLine="190" w:firstLineChars="100"/>
            </w:pPr>
            <w:r>
              <w:rPr>
                <w:b/>
                <w:sz w:val="19"/>
              </w:rPr>
              <w:t>检查点标准</w:t>
            </w:r>
          </w:p>
        </w:tc>
      </w:tr>
      <w:tr w14:paraId="4891124A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56C43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TrafficFormer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72E1E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20／64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0FE53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AdamW；6×10⁻⁵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9B6A7">
            <w:pPr>
              <w:spacing w:before="60" w:after="60" w:line="269" w:lineRule="auto"/>
            </w:pPr>
            <w:r>
              <w:rPr>
                <w:sz w:val="19"/>
              </w:rPr>
              <w:t>Known-Val Macro-F1</w:t>
            </w:r>
          </w:p>
        </w:tc>
      </w:tr>
      <w:tr w14:paraId="30092FD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770C3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TAGCN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D8E15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50／64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079AC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Adam；1×10⁻³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889BF">
            <w:pPr>
              <w:spacing w:before="60" w:after="60" w:line="269" w:lineRule="auto"/>
            </w:pPr>
            <w:r>
              <w:rPr>
                <w:sz w:val="19"/>
              </w:rPr>
              <w:t>Known-Val Macro-F1</w:t>
            </w:r>
          </w:p>
        </w:tc>
      </w:tr>
      <w:tr w14:paraId="469D648E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D2192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YaTC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DCF68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200／64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A9BE1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AdamW；5×10⁻⁴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ACB12">
            <w:pPr>
              <w:spacing w:before="60" w:after="60" w:line="269" w:lineRule="auto"/>
              <w:rPr>
                <w:rFonts w:hint="eastAsia"/>
                <w:lang w:eastAsia="zh-CN"/>
              </w:rPr>
            </w:pPr>
            <w:r>
              <w:rPr>
                <w:sz w:val="19"/>
              </w:rPr>
              <w:t>Known-Val Weighted-F1</w:t>
            </w:r>
          </w:p>
        </w:tc>
      </w:tr>
      <w:tr w14:paraId="2A1CA1BD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76E89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三路适配器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8342B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30／256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62A85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Adam；1×10⁻³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9DC12">
            <w:pPr>
              <w:spacing w:before="60" w:after="60" w:line="269" w:lineRule="auto"/>
            </w:pPr>
            <w:r>
              <w:rPr>
                <w:sz w:val="19"/>
              </w:rPr>
              <w:t>单分支 Macro-F1 均值</w:t>
            </w:r>
          </w:p>
        </w:tc>
      </w:tr>
      <w:tr w14:paraId="582DBE87"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775AB99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融合头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844E18C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30／256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358DB750">
            <w:pPr>
              <w:spacing w:before="60" w:after="60" w:line="269" w:lineRule="auto"/>
              <w:jc w:val="center"/>
            </w:pPr>
            <w:r>
              <w:rPr>
                <w:sz w:val="19"/>
              </w:rPr>
              <w:t>Adam；1×10⁻³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8BE50C8">
            <w:pPr>
              <w:spacing w:before="60" w:after="60" w:line="269" w:lineRule="auto"/>
            </w:pPr>
            <w:r>
              <w:rPr>
                <w:sz w:val="19"/>
              </w:rPr>
              <w:t>Known-Val Macro-F1</w:t>
            </w:r>
          </w:p>
        </w:tc>
      </w:tr>
    </w:tbl>
    <w:p w14:paraId="6DF331E2">
      <w:pPr>
        <w:spacing w:after="0"/>
      </w:pPr>
    </w:p>
    <w:p w14:paraId="5B9C7ED4">
      <w:pPr>
        <w:ind w:firstLine="440"/>
        <w:jc w:val="both"/>
        <w:rPr>
          <w:lang w:eastAsia="zh-CN"/>
        </w:rPr>
      </w:pPr>
      <w:r>
        <w:rPr>
          <w:lang w:eastAsia="zh-CN"/>
        </w:rPr>
        <w:t>TAGCN 的 dropout 为 0.5</w:t>
      </w:r>
      <w:r>
        <w:rPr>
          <w:rFonts w:hint="eastAsia"/>
          <w:lang w:eastAsia="zh-CN"/>
        </w:rPr>
        <w:t>；</w:t>
      </w:r>
      <w:r>
        <w:rPr>
          <w:lang w:eastAsia="zh-CN"/>
        </w:rPr>
        <w:t>YaTC 的权重衰减为 0.05、层级学习率衰减系数为 0.75、预热为 20 轮、标签平滑为 0.1。编码器权重、适配器、融合头、标准化统计量、类别质心、近邻库、MAD 参数和阈值在测试前冻结，记录代码及清单哈希；测试集不参与梯度、标准化拟合、近邻库构建或阈值调节。所述隔离是每个冻结任务内的训练与校准约束，不保证外部预训练语料与测试未知类别完全无重叠，也不将已查看未知标签的后验开发诊断当作未经触碰的外部验证。</w:t>
      </w:r>
    </w:p>
    <w:p w14:paraId="1DBA6023">
      <w:pPr>
        <w:ind w:firstLine="440"/>
        <w:jc w:val="both"/>
        <w:rPr>
          <w:lang w:eastAsia="zh-CN"/>
        </w:rPr>
      </w:pPr>
      <w:r>
        <w:rPr>
          <w:lang w:eastAsia="zh-CN"/>
        </w:rPr>
        <w:t xml:space="preserve">仅考虑表示已经计算后的支撑模块，设特征维数 d=128、已知训练样本数 N，质心计算与训练表示缓存为 O(Nd)，缓存空间为 O(Nd+Cd)。单样本全局搜索为 O(Cd)；若最近质心类别包含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条训练样本，穷举近邻的距离计算为 O(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d)，另需近邻选择代价。实际近邻库采用精确欧氏距离检索，运行效率取决于实现与数据规模。上述开销不包含三个编码器的前向计算。部署时可保留固定训练支撑库进行批量推理，但不得无记录地用测试样本扩充该库。</w:t>
      </w:r>
    </w:p>
    <w:p w14:paraId="1206DF62">
      <w:pPr>
        <w:pStyle w:val="3"/>
        <w:rPr>
          <w:rFonts w:ascii="黑体" w:hAnsi="黑体" w:eastAsia="黑体"/>
          <w:lang w:eastAsia="zh-CN"/>
        </w:rPr>
      </w:pPr>
      <w:r>
        <w:rPr>
          <w:rFonts w:ascii="黑体" w:hAnsi="黑体" w:eastAsia="黑体"/>
          <w:lang w:eastAsia="zh-CN"/>
        </w:rPr>
        <w:t>引用文献</w:t>
      </w:r>
    </w:p>
    <w:p w14:paraId="2CB45CB6">
      <w:pPr>
        <w:spacing w:after="120" w:line="276" w:lineRule="auto"/>
        <w:ind w:left="340" w:hanging="340"/>
      </w:pPr>
      <w:r>
        <w:rPr>
          <w:sz w:val="19"/>
        </w:rPr>
        <w:t>[1] G. Zhou, X. Guo, Z. Liu, T. Li, Q. Li, and K. Xu, “TrafficFormer: An Efficient Pre-trained Model for Traffic Data,” IEEE Symposium on Security and Privacy, 2025.</w:t>
      </w:r>
    </w:p>
    <w:p w14:paraId="1E558F1B">
      <w:pPr>
        <w:spacing w:after="120" w:line="276" w:lineRule="auto"/>
        <w:ind w:left="340" w:hanging="340"/>
      </w:pPr>
      <w:r>
        <w:rPr>
          <w:sz w:val="19"/>
        </w:rPr>
        <w:t>[2] Q. Yang et al., “End-to-End Open-Set Semi-Supervised Learning for Fine-Grained Encrypted Traffic Classification,” IEEE Transactions on Information Forensics and Security, vol. 21, 2026, doi: 10.1109/TIFS.2026.3653575.</w:t>
      </w:r>
    </w:p>
    <w:p w14:paraId="535FC23E">
      <w:pPr>
        <w:spacing w:after="120" w:line="276" w:lineRule="auto"/>
        <w:ind w:left="340" w:hanging="340"/>
      </w:pPr>
      <w:r>
        <w:rPr>
          <w:sz w:val="19"/>
        </w:rPr>
        <w:t>[3] M. Shen, J. Zhang, L. Zhu, K. Xu, and X. Du, “Accurate Decentralized Application Identification via Encrypted Traffic Analysis Using Graph Neural Networks,” IEEE Transactions on Information Forensics and Security, vol. 16, pp. 2367–2380, 2021, doi: 10.1109/TIFS.2021.3050608.</w:t>
      </w:r>
    </w:p>
    <w:p w14:paraId="1BABB0A6">
      <w:pPr>
        <w:spacing w:after="120" w:line="276" w:lineRule="auto"/>
        <w:ind w:left="340" w:hanging="340"/>
      </w:pPr>
      <w:r>
        <w:rPr>
          <w:sz w:val="19"/>
        </w:rPr>
        <w:t>[4] R. Zhao, M. Zhan, X. Deng, Y. Wang, Y. Wang, G. Gui, and Z. Xue, “Yet Another Traffic Classifier: A Masked Autoencoder Based Traffic Transformer with Multi-Level Flow Representation,” Proceedings of the AAAI Conference on Artificial Intelligence, vol. 37, no. 4, pp. 5420–5427, 2023, doi: 10.1609/aaai.v37i4.25674.</w:t>
      </w:r>
    </w:p>
    <w:p w14:paraId="24A487E7">
      <w:pPr>
        <w:spacing w:after="120" w:line="276" w:lineRule="auto"/>
        <w:ind w:left="340" w:hanging="340"/>
      </w:pPr>
      <w:r>
        <w:rPr>
          <w:sz w:val="19"/>
        </w:rPr>
        <w:t>[5] Q. Meng, J. Tao, Q. Yuan, G. Li, Y. Wang, B. Gao, and S. Lu, “Detection of Unknown Attacks Through Encrypted Traffic: A Gaussian Prototype-Aided Variational Autoencoder Framework,” IEEE Transactions on Information Forensics and Security, vol. 20, 2025, doi: 10.1109/TIFS.2025.3612141.</w:t>
      </w:r>
    </w:p>
    <w:sectPr>
      <w:footerReference r:id="rId5" w:type="default"/>
      <w:pgSz w:w="11906" w:h="16838"/>
      <w:pgMar w:top="1361" w:right="1417" w:bottom="1361" w:left="1417" w:header="624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B4AE1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B63"/>
    <w:rsid w:val="0015074B"/>
    <w:rsid w:val="00170BC2"/>
    <w:rsid w:val="0029639D"/>
    <w:rsid w:val="002C301A"/>
    <w:rsid w:val="00326F90"/>
    <w:rsid w:val="004C5708"/>
    <w:rsid w:val="0091675D"/>
    <w:rsid w:val="00AA1D8D"/>
    <w:rsid w:val="00B47730"/>
    <w:rsid w:val="00CB0664"/>
    <w:rsid w:val="00CF2FCD"/>
    <w:rsid w:val="00D6293D"/>
    <w:rsid w:val="00D81E5F"/>
    <w:rsid w:val="00F22EBA"/>
    <w:rsid w:val="00FC693F"/>
    <w:rsid w:val="3DD58CB6"/>
    <w:rsid w:val="7FF71245"/>
    <w:rsid w:val="9DFFC546"/>
    <w:rsid w:val="EE9F2272"/>
    <w:rsid w:val="F7FF8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200" w:after="120"/>
      <w:contextualSpacing/>
    </w:pPr>
    <w:rPr>
      <w:rFonts w:asciiTheme="majorHAnsi" w:hAnsiTheme="majorHAnsi" w:eastAsiaTheme="majorEastAsia" w:cstheme="majorBidi"/>
      <w:b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3303</Words>
  <Characters>5286</Characters>
  <Lines>165</Lines>
  <Paragraphs>143</Paragraphs>
  <TotalTime>99</TotalTime>
  <ScaleCrop>false</ScaleCrop>
  <LinksUpToDate>false</LinksUpToDate>
  <CharactersWithSpaces>8446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亖傲骨寒俗。_</dc:creator>
  <dc:description>generated by python-docx</dc:description>
  <cp:lastModifiedBy>亖傲骨寒俗。_</cp:lastModifiedBy>
  <dcterms:modified xsi:type="dcterms:W3CDTF">2026-10-16T20:30:49Z</dcterms:modified>
  <dc:subject>方法章节 SCI 严格修订稿</dc:subject>
  <dc:title>三视图表示与经验支撑解耦的加密流量开集分类方法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09EEE050625551E39313D26A993BD643_42</vt:lpwstr>
  </property>
</Properties>
</file>