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2F6FED"/>
          <w:sz w:val="40"/>
          <w:szCs w:val="40"/>
        </w:rPr>
        <w:t xml:space="preserve">SendSoon</w:t>
      </w:r>
    </w:p>
    <w:p>
      <w:pPr>
        <w:spacing w:after="30"/>
      </w:pPr>
      <w:r>
        <w:rPr>
          <w:b/>
          <w:bCs/>
          <w:color w:val="1F2937"/>
          <w:sz w:val="20"/>
          <w:szCs w:val="20"/>
        </w:rPr>
        <w:t xml:space="preserve">High-Deliverability Overseas Email System &amp; AI Agent Toolkit</w:t>
      </w:r>
    </w:p>
    <w:p>
      <w:pPr>
        <w:spacing w:after="150"/>
      </w:pPr>
      <w:r>
        <w:rPr>
          <w:color w:val="6B7280"/>
          <w:sz w:val="17"/>
          <w:szCs w:val="17"/>
        </w:rPr>
        <w:t xml:space="preserve">sendsoonai.com   |   github.com/sendsoon/mcp</w:t>
      </w:r>
    </w:p>
    <w:p>
      <w:pPr>
        <w:spacing w:after="100" w:line="264"/>
      </w:pPr>
      <w:r>
        <w:rPr>
          <w:color w:val="1F2937"/>
          <w:sz w:val="19"/>
          <w:szCs w:val="19"/>
        </w:rPr>
        <w:t xml:space="preserve">14M+ emails delivered  ·  96.5% avg. inbox rate  ·  &lt;3 days to launch  ·  ~60% of comparable SendGrid cost</w:t>
      </w:r>
    </w:p>
    <w:p>
      <w:pPr>
        <w:pStyle w:val="Heading1"/>
        <w:spacing w:after="100" w:before="200"/>
      </w:pPr>
      <w:r>
        <w:rPr>
          <w:b/>
          <w:bCs/>
          <w:color w:val="2F6FED"/>
          <w:sz w:val="24"/>
          <w:szCs w:val="24"/>
        </w:rPr>
        <w:t xml:space="preserve">Overview</w:t>
      </w:r>
    </w:p>
    <w:p>
      <w:pPr>
        <w:spacing w:after="100" w:line="264"/>
      </w:pPr>
      <w:r>
        <w:rPr>
          <w:color w:val="1F2937"/>
          <w:sz w:val="19"/>
          <w:szCs w:val="19"/>
        </w:rPr>
        <w:t xml:space="preserve">SendSoon provides high-deliverability email infrastructure for cross-border and outbound teams: AI-guided domain warm-up, real-time deliverability monitoring, and open MCP/API integrations. Reported metrics: ~2.5% bounce rate, ~0.15% spam-complaint rate; cost estimated at 60% of SendGrid and 80% of Klaviyo for comparable volume.</w:t>
      </w:r>
    </w:p>
    <w:p>
      <w:pPr>
        <w:pStyle w:val="Heading1"/>
        <w:spacing w:after="100" w:before="200"/>
      </w:pPr>
      <w:r>
        <w:rPr>
          <w:b/>
          <w:bCs/>
          <w:color w:val="2F6FED"/>
          <w:sz w:val="24"/>
          <w:szCs w:val="24"/>
        </w:rPr>
        <w:t xml:space="preserve">AI Agent Toolkit</w:t>
      </w:r>
    </w:p>
    <w:p>
      <w:pPr>
        <w:spacing w:after="40" w:line="250"/>
        <w:ind w:left="200"/>
      </w:pPr>
      <w:r>
        <w:rPr>
          <w:color w:val="1F2937"/>
          <w:sz w:val="19"/>
          <w:szCs w:val="19"/>
        </w:rPr>
        <w:t xml:space="preserve">– AI Email Generator — personalized outreach emails from a short brief (RAG-grounded)</w:t>
      </w:r>
    </w:p>
    <w:p>
      <w:pPr>
        <w:spacing w:after="40" w:line="250"/>
        <w:ind w:left="200"/>
      </w:pPr>
      <w:r>
        <w:rPr>
          <w:color w:val="1F2937"/>
          <w:sz w:val="19"/>
          <w:szCs w:val="19"/>
        </w:rPr>
        <w:t xml:space="preserve">– Free IP Lookup — country/region/city/ISP for any public IP</w:t>
      </w:r>
    </w:p>
    <w:p>
      <w:pPr>
        <w:spacing w:after="40" w:line="250"/>
        <w:ind w:left="200"/>
      </w:pPr>
      <w:r>
        <w:rPr>
          <w:color w:val="1F2937"/>
          <w:sz w:val="19"/>
          <w:szCs w:val="19"/>
        </w:rPr>
        <w:t xml:space="preserve">– Free Markitdown — convert Office docs &amp; PDFs to Markdown</w:t>
      </w:r>
    </w:p>
    <w:p>
      <w:pPr>
        <w:spacing w:after="40" w:line="250"/>
        <w:ind w:left="200"/>
      </w:pPr>
      <w:r>
        <w:rPr>
          <w:color w:val="1F2937"/>
          <w:sz w:val="19"/>
          <w:szCs w:val="19"/>
        </w:rPr>
        <w:t xml:space="preserve">– Free World Clock — compare time zones for global teams</w:t>
      </w:r>
    </w:p>
    <w:p>
      <w:pPr>
        <w:spacing w:after="40" w:line="250"/>
        <w:ind w:left="200"/>
      </w:pPr>
      <w:r>
        <w:rPr>
          <w:color w:val="1F2937"/>
          <w:sz w:val="19"/>
          <w:szCs w:val="19"/>
        </w:rPr>
        <w:t xml:space="preserve">– AI Video Link / Vision Analysis Agents — summarize video content</w:t>
      </w:r>
    </w:p>
    <w:p>
      <w:pPr>
        <w:pStyle w:val="Heading1"/>
        <w:spacing w:after="100" w:before="200"/>
      </w:pPr>
      <w:r>
        <w:rPr>
          <w:b/>
          <w:bCs/>
          <w:color w:val="2F6FED"/>
          <w:sz w:val="24"/>
          <w:szCs w:val="24"/>
        </w:rPr>
        <w:t xml:space="preserve">Open-Source MCP Server</w:t>
      </w:r>
    </w:p>
    <w:p>
      <w:pPr>
        <w:spacing w:after="100" w:line="264"/>
      </w:pPr>
      <w:r>
        <w:rPr>
          <w:color w:val="1F2937"/>
          <w:sz w:val="19"/>
          <w:szCs w:val="19"/>
        </w:rPr>
        <w:t xml:space="preserve">github.com/sendsoon/mcp (MIT license) lets Claude, Codex, Cursor and other AI agents call SendSoon directly. Available via npm (@sendsoon/mcp, Node 20+) or PyPI (sendsoon-mcp, Python 3.10+).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2F6F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7200"/>
            <w:shd w:fill="2F6F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send_email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Send a single email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ip_lookup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Look up public IP info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markitdown_convert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Convert local docs to Markdown</w:t>
            </w:r>
          </w:p>
        </w:tc>
      </w:tr>
    </w:tbl>
    <w:p>
      <w:pPr>
        <w:spacing w:after="150" w:before="100"/>
      </w:pPr>
      <w:r>
        <w:rPr>
          <w:i/>
          <w:iCs/>
          <w:color w:val="6B7280"/>
          <w:sz w:val="16"/>
          <w:szCs w:val="16"/>
        </w:rPr>
        <w:t xml:space="preserve">No API key needed for trial — up to 3 free test emails per public IP per day.</w:t>
      </w:r>
    </w:p>
    <w:p>
      <w:pPr>
        <w:pStyle w:val="Heading1"/>
        <w:spacing w:after="100" w:before="200"/>
      </w:pPr>
      <w:r>
        <w:rPr>
          <w:b/>
          <w:bCs/>
          <w:color w:val="2F6FED"/>
          <w:sz w:val="24"/>
          <w:szCs w:val="24"/>
        </w:rPr>
        <w:t xml:space="preserve">Customer Results</w:t>
      </w:r>
    </w:p>
    <w:p>
      <w:pPr>
        <w:spacing w:after="40" w:line="250"/>
        <w:ind w:left="200"/>
      </w:pPr>
      <w:r>
        <w:rPr>
          <w:color w:val="1F2937"/>
          <w:sz w:val="19"/>
          <w:szCs w:val="19"/>
        </w:rPr>
        <w:t xml:space="preserve">– Manufacturing group (multi-city): 1M+ emails/month, 97.1% inbox rate, 14+ months in production</w:t>
      </w:r>
    </w:p>
    <w:p>
      <w:pPr>
        <w:spacing w:after="40" w:line="250"/>
        <w:ind w:left="200"/>
      </w:pPr>
      <w:r>
        <w:rPr>
          <w:color w:val="1F2937"/>
          <w:sz w:val="19"/>
          <w:szCs w:val="19"/>
        </w:rPr>
        <w:t xml:space="preserve">– Cross-border e-commerce group: ~52% cost savings, 99.9% delivery uptime</w:t>
      </w:r>
    </w:p>
    <w:p>
      <w:pPr>
        <w:pStyle w:val="Heading1"/>
        <w:spacing w:after="100" w:before="200"/>
      </w:pPr>
      <w:r>
        <w:rPr>
          <w:b/>
          <w:bCs/>
          <w:color w:val="2F6FED"/>
          <w:sz w:val="24"/>
          <w:szCs w:val="24"/>
        </w:rPr>
        <w:t xml:space="preserve">Contact</w:t>
      </w:r>
    </w:p>
    <w:p>
      <w:pPr>
        <w:spacing w:after="100" w:line="264"/>
      </w:pPr>
      <w:r>
        <w:rPr>
          <w:color w:val="1F2937"/>
          <w:sz w:val="19"/>
          <w:szCs w:val="19"/>
        </w:rPr>
        <w:t xml:space="preserve">sendsoonai.com — free trial ("Start free") and sales inquiries ("Talk to sales") available on the website.</w:t>
      </w:r>
    </w:p>
    <w:sectPr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2026-08-27T03:14:47.316Z</dcterms:created>
  <dcterms:modified xsi:type="dcterms:W3CDTF">2026-08-27T03:14:47.316Z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