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</w:pPr>
      <w:r>
        <w:t xml:space="preserve"/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Model Reference Adaptive Control of an Electrohydraulic Actuator: Input-Matrix Structure Analysis, σ-Modification, and UUB Stability Guarantee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Hasan Şener</w:t>
      </w:r>
    </w:p>
    <w:p>
      <w:pPr>
        <w:spacing w:after="480" w:before="0"/>
        <w:jc w:val="center"/>
      </w:pPr>
      <w:r>
        <w:rPr>
          <w:rFonts w:ascii="Times New Roman" w:cs="Times New Roman" w:eastAsia="Times New Roman" w:hAnsi="Times New Roman"/>
          <w:color w:val="555555"/>
          <w:sz w:val="22"/>
          <w:szCs w:val="22"/>
        </w:rPr>
        <w:t xml:space="preserve">Department of Mechanical Engineering, [University]  |  sener.phd@gmail.com</w:t>
      </w:r>
    </w:p>
    <w:p>
      <w:pPr>
        <w:pBdr>
          <w:top w:val="single" w:color="1F3864" w:sz="4" w:space="1"/>
          <w:bottom w:val="single" w:color="1F3864" w:sz="4" w:space="1"/>
        </w:pBdr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Abstract</w:t>
      </w:r>
    </w:p>
    <w:p>
      <w:pPr>
        <w:spacing w:after="360" w:before="120" w:line="320"/>
        <w:ind w:left="360" w:right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paper presents a model reference adaptive control (MRAC) framework for a nonlinear electrohydraulic actuator (EHA) comprising a servo valve, double-rod hydraulic cylinder, and LuGre friction model. A scaled three-state representation — position (mm), velocity (mm/s), and differential pressure (bar) — is adopted to improve numerical conditioning. The reference model is derived via pole-placement on the nominal closed-loop plant, ensuring the model is physically consistent with the actuator dynamics. A critical structural observation is established: because the input matrix B takes the form [0; 0; b₃], the standard Lyapunov adaptation term e′PB is always dominated by the pressure error state e₃, which diverges from the reference model during stiction phases and corrupts the adaptation law. To remedy this, an output-channel weighting is introduced so that the scalar driving term reduces to φ = e₁·(P₁₃b₃), engaging only the position error. σ-modification is then incorporated to obtain a rigorous Uniformly Ultimately Bounded (UUB) stability proof via Lyapunov analysis combined with Young's inequality. Simulation results on the nonlinear plant show that the proposed design achieves steady-state RMS position error of 0.45 mm (3.0% of 15 mm reference amplitude) with a convergence time below 7 seconds, representing a 6× improvement over the unmodified adaptive law. Experimental validation on a physical test bench is planned as future work.</w:t>
      </w:r>
    </w:p>
    <w:p>
      <w:pPr>
        <w:spacing w:after="360" w:before="0"/>
        <w:ind w:left="36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Keywords: electrohydraulic actuator, model reference adaptive control, σ-modification, UUB stability, LuGre friction, Lyapunov analysis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Introduction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Electrohydraulic actuators (EHAs) are widely deployed in aerospace, industrial robotics, and heavy machinery applications due to their high power-to-weight ratio, rapid dynamic response, and capacity for large force generation [1,2]. Precise position tracking in such systems is, however, challenged by the inherently nonlinear nature of valve flow dynamics, compressibility effects of hydraulic fluid, and friction phenomena at the piston–cylinder interface [3].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Adaptive control methods — and model reference adaptive control (MRAC) in particular — have attracted sustained research interest for nonlinear mechanical systems because they do not require exact knowledge of plant parameters and can compensate for slow parameter variations in real time [4,5]. Classical MRAC theory is well established for relative-degree-one, strictly positive real (SPR) systems; its extension to higher-order hydraulic systems with relative degree three and non-minimum-phase zero dynamics presents both theoretical and practical challenges [6,7].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specific difficulty that arises in hydraulic MRAC design, but has received limited explicit attention in the literature, concerns the structure of the input matrix B. In typical three-state EHA representations the input (valve current) directly affects only the pressure dynamics, yielding B = [0, 0, b₃]ᵀ. The standard Lyapunov adaptation term e′PB then becomes b₃·(P₁₃e₁ + P₂₃e₂ + P₃₃e₃), where the coefficient P₃₃ associated with the pressure error state e₃ is typically two to three orders of magnitude larger than P₁₃ (position channel). During stiction phases the hydraulic pressure in the plant accumulates while the linear reference model predicts near-zero differential pressure, causing a large sustained negative e₃ that inverts the sign of the adaptation driving term and prevents feedforward gain growth. This phenomenon is demonstrated analytically and numerically in the present work.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resolve this structural issue, a position-channel projection of the Lyapunov term is proposed: the scalar driving term is defined as φ = e₁·(P₁₃b₃), retaining only the position error contribution. The practical loss of the full Lyapunov descent argument is then recovered by the addition of σ-modification to the adaptation laws, which enables a rigorous UUB proof through a Lyapunov function augmented with parameter-error norms. The resulting design is validated on a high-fidelity nonlinear Simulink model incorporating LuGre friction, valve dead-zone, and pressure dynamics, and achieves sub-millimeter steady-state tracking with convergence in approximately five seconds.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main contributions of this paper are: (i) a formal analysis of the B-matrix dominance problem in EHA MRAC design and its root cause in the Lyapunov equation solution; (ii) a position-channel adaptation projection that resolves the dominance without requiring any changes to the physical plant model; (iii) a complete UUB stability proof combining Young's inequality and σ-modification; and (iv) systematic LMI-based comparison of alternative P-matrix designs using YALMIP/MOSEK, demonstrating that the proposed projection outperforms LMI-optimised matrices in practice.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remainder of the paper is organised as follows. Section 2 derives the scaled nonlinear EHA model. Section 3 presents the MRAC design and reference model selection. Section 4 establishes the stability analysis. Section 5 reports simulation results and comparisons. Section 6 discusses the findings, and Section 7 concludes.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System Modelling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2.1 Electrohydraulic Actuator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test-bench actuator consists of a Moog G761 proportional servo valve connected to a double-rod hydraulic cylinder. The cylinder drives a load carriage with equivalent mass m = 3.4 kg and viscous damping coefficient Bₚ = 38 N·s/m. Hydraulic fluid properties are characterised by an effective bulk modulus βₑ = 1.6 × 10⁹ Pa.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Physical parameters are summarised in Table 1. Valve flow-gain coefficient Kq and pressure-flow coefficient Kc are obtained by scaling static bench measurements to the operating supply pressure Pₛ ≈ 200 bar using orifice-law square-root corrections: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Kq = K̂q √(Pₛ,net / P̂ₛ,fg),     Kc = K̂c √(P̂ₛ,pg / Pₛ,net)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where Pₛ,net = Pₛ,supply − Pᵣₑₜᵤᵣₙ = 195.39 bar and hatted quantities denote reference test conditions.</w:t>
      </w:r>
    </w:p>
    <w:p>
      <w:pPr>
        <w:spacing w:after="120" w:before="120"/>
      </w:pPr>
      <w:r>
        <w:t xml:space="preserve"/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Table 1. Electrohydraulic actuator parameters.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2026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Parameter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Symbol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Value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Unit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Piston diameter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dₚ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34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mm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Rod diameter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dᵣ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mm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Effective area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Ac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2.011 × 10⁻⁴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m²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Equivalent mass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3.4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kg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Viscous damping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Bₚ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38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N·s/m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Bulk modulus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βₑ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1.6 × 10⁹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Effective volume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Vₑ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6.886 × 10⁻⁵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m³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Internal leakage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Cip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3.993 × 10⁻¹³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m³/(s·Pa)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Supply pressure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Pₛ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199.85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bar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Flow gain coeff.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Kq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1.100 × 10⁻²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m³/(s·A)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Pressure-flow coeff.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Kc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3.963 × 10⁻¹³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m³/(s·Pa)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2.2 Nonlinear Plant Model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nonlinear plant model comprises three subsystems: (1) servo valve dynamics including a first-order transfer function and dead-zone nonlinearity; (2) pressure dynamics accounting for compressibility, internal leakage, and piston motion; and (3) cylinder mechanics with a LuGre friction model. The LuGre friction model captures static, Coulomb, and viscous friction components through an internal bristle deflection state, providing an accurate representation of stick-slip behaviour.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2.3 Linearised Scaled State-Space Representation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MRAC design, a linearised three-state representation is derived around the operating point. Let the physical states be x = [xc, ẋc, PL]ᵀ where xc is piston position, ẋc is velocity, and PL = PA − PB is differential load pressure. The continuous-time state equations are: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ẋ = Ax + Bu,   y = Cx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A = [0, 1, 0; 0, −Bₚ/m, Ac/m; 0, −4βₑAc/Vₑ, −4βₑ(Kc+Cip)/Vₑ]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B = [0; 0; (4βₑ/Vₑ)Kq]ᵀ,   C = [1, 0, 0]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improve numerical conditioning of the adaptation algorithm, a coordinate transformation T = diag(10⁻³, 10⁻³, 10⁵) maps the states to z = T⁻¹x ∈ [mm, mm/s, bar]. The scaled system matrices are: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Ā = T⁻¹AT,   B̄ = T⁻¹B,   B̄_mA = B̄ × 10⁻³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where the factor 10⁻³ converts the input from amperes to milliamperes. Numerically: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Ā₁₂ = 1.0,  Ā₂₂ = −11.18,  Ā₂₃ = 5913.6  [all ×10⁻³ s⁻¹ or s⁻¹]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B̄_mA = [0; 0; 10225.6]ᵀ  (mm/s²)/mA equivalent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input matrix structure B̄_mA = [0, 0, b₃]ᵀ with b₃ = 10225.6 is a fundamental property of this system class: valve current directly excites only the pressure dynamics.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MRAC Design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3.1 Reference Model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reference model is selected as the nominal closed-loop system obtained by applying a state-feedback gain Km to the linearised scaled plant: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Am = Ā − B̄_mA Km,   ẑ_m = Am z_m + Bm r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Km is computed by pole placement targeting ωn = 40 rad/s, ζ = 0.707 for the dominant complex pair and a fast real pole at −150 rad/s: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p₁,₂ = −28.28 ± 28.29j,   p₃ = −150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Km = [0.0040, −0.0181, 0.0119]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reference model input matrix Bm is scaled so that the DC position gain from reference r (in mm) to output zm₁ equals unity: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Bm = B̄_mA / (C·(−Am)⁻¹·B̄_mA) = B̄_mA / 251.96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normalisation ensures the reference model tracks the commanded position amplitude faithfully at low frequencies, with |Gm(j·2π·0.2)| = 1.000.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 Control Law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MRAC control law is a linear parameterisation in the current state estimate and reference signal: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u = −L̂ᵀz + M̂r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where L̂ ∈ ℝ³ and M̂ ∈ ℝ are time-varying adaptive gains. The negative sign on L̂ appears because the Simulink implementation routes L̂ through a Gain = −1 block before multiplication with z. The tracking error is defined as e = zm − z, so that e &gt; 0 indicates the plant lags behind the reference model.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Initial conditions are set to the nominal values: L̂(0) = −Km (recovers state feedback at t = 0) and M̂(0) = 1/(DC gain) = 3.97 × 10⁻³ mA/mm (nominal feedforward).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3.3 Input-Matrix Dominance Problem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standard Lyapunov adaptation term is: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φ_full = eᵀPB̄_mA = b₃(P₁₃e₁ + P₂₃e₂ + P₃₃e₃)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With Q = I₃ in the Lyapunov equation Amᵀ P + P Am = −Q, the solution gives P₃₃ = 9.50 and P₁₃ = 0.0123, yielding P₃₃/P₁₃ = 771. Consequently: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φ_full ≈ b₃ · P₃₃ · e₃  (e₃ dominant when |e₃| &gt; P₁₃/P₃₃ · |e₁|)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During stiction phases the plant differential pressure z₃ accumulates (up to 1–2 bar) while the reference model predicts zm₃ ≈ 0 bar, giving e₃ ≈ −1 bar. This makes φ_full ≈ −97129 × 1 = −97129, whereas the position contribution is only P₁₃b₃e₁ ≈ 126 × 5 = 630. The negative dominant term inverts M̂ṡ sign and drives M̂ → 0, preventing position tracking.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 LMI-based search over symmetric positive-definite P satisfying Amᵀ P + P Am ⪯ −εI was conducted using YALMIP with the MOSEK solver, minimising P₃₃ subject to P₁₃ ≥ 1. The optimised matrix achieves P₃₃/P₁₃ = 8.89, yet simulation shows that the residual e₃ contribution still dominates when the plant is in stiction, yielding RMS errors of 9.1 mm — significantly worse than the proposed projection approach (0.45 mm).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3.4 Position-Channel Projection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proposed remedy retains the Lyapunov matrix P but restricts the adaptation driving term to the position error channel: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φ = e₁ · (P₁₃ b₃) = e₁ · 125.98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Equivalently, the vector used in the Simulink Constant block is [P(1,:)·B̄_mA; 0; 0], so that eᵀ times this vector equals e₁·P₁₃b₃. The resulting adaptation laws are: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L̂̇ = −ΓL · φ · z − σL · L̂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M̂̇ = +ΓR · φ · r − σM · M̂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with ΓL = 10⁻⁶, ΓR = 10⁻⁵, σL = σM = 10⁻³. The σ-modification terms are implemented via feedback Gain blocks (Gain_sigL, Gain_sigM) summed at the integrator inputs.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Stability Analysis</w:t>
      </w:r>
    </w:p>
    <w:p>
      <w:pPr>
        <w:pStyle w:val="Heading2"/>
      </w:pPr>
      <w:r>
        <w:rPr>
          <w:rFonts w:ascii="Times New Roman" w:cs="Times New Roman" w:hAnsi="Times New Roman"/>
          <w:b/>
          <w:sz w:val="26"/>
          <w:szCs w:val="26"/>
        </w:rPr>
        <w:t xml:space="preserve">4.1 Closed-Loop Error Dynamics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hAnsi="Times New Roman"/>
          <w:sz w:val="24"/>
          <w:szCs w:val="24"/>
        </w:rPr>
        <w:t xml:space="preserve">Define the parameter errors L̃ = L̂ + Km and M̃ = M̂ − Kr where Kr = 1/DC_gain. Substituting u = −L̂ᵀz + M̂r into the plant dynamics and using Am = Ā_bar − B̅_mA Km yields:</w:t>
      </w:r>
    </w:p>
    <w:p>
      <w:pPr>
        <w:spacing w:after="120" w:before="120"/>
        <w:jc w:val="center"/>
      </w:pPr>
      <w:r>
        <w:rPr>
          <w:rFonts w:ascii="Cambria Math" w:cs="Cambria Math" w:hAnsi="Cambria Math"/>
          <w:i/>
          <w:sz w:val="24"/>
          <w:szCs w:val="24"/>
        </w:rPr>
        <w:t xml:space="preserve">ė = Am e − B̅_mA(L̃ᵀz − M̃r)    (1)</w:t>
      </w:r>
    </w:p>
    <w:p>
      <w:pPr>
        <w:pStyle w:val="Heading2"/>
      </w:pPr>
      <w:r>
        <w:rPr>
          <w:rFonts w:ascii="Times New Roman" w:cs="Times New Roman" w:hAnsi="Times New Roman"/>
          <w:b/>
          <w:sz w:val="26"/>
          <w:szCs w:val="26"/>
        </w:rPr>
        <w:t xml:space="preserve">4.2 Lyapunov Analysis and V̇ Decomposition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hAnsi="Times New Roman"/>
          <w:sz w:val="24"/>
          <w:szCs w:val="24"/>
        </w:rPr>
        <w:t xml:space="preserve">Select the composite Lyapunov candidate V = eᵀPe + (1/ΓL)‖L̃‖² + (1/ΓR)M̃², where P satisfies AmᵀP + PAm = −Q with Q = I₃. After substituting the adaptation laws and separating eᵀPB = φ + δ (where φ = e₁P₁₃b₃ is the projected term and δ = b₃(P₂₃e₂ + P₃₃e₃) is the residual), the φ-terms cancel and the Lyapunov derivative becomes:</w:t>
      </w:r>
    </w:p>
    <w:p>
      <w:pPr>
        <w:spacing w:after="120" w:before="120"/>
        <w:jc w:val="center"/>
      </w:pPr>
      <w:r>
        <w:rPr>
          <w:rFonts w:ascii="Cambria Math" w:cs="Cambria Math" w:hAnsi="Cambria Math"/>
          <w:i/>
          <w:sz w:val="24"/>
          <w:szCs w:val="24"/>
        </w:rPr>
        <w:t xml:space="preserve">V̇ = −eᵀQe + 2δ(M̃r − L̃ᵀz) − (σL/ΓL)L̃ᵀL̂ − (σM/ΓR)M̃M̂    (2)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hAnsi="Times New Roman"/>
          <w:sz w:val="24"/>
          <w:szCs w:val="24"/>
        </w:rPr>
        <w:t xml:space="preserve">The residual δ = b₃(P₂₃e₂ + P₃₃e₃) is the term that couples the pressure error e₃ back into the Lyapunov derivative. As established in Section 3.3, the coefficient cδ = b₃(P₂₃ + P₃₃) = 100,337 is large due to the physical parameters of the actuator and cannot be reduced by any choice of Q in the Lyapunov equation. This structural property prevents a naive application of Young’s inequality from closing the UUB argument, as shown next.</w:t>
      </w:r>
    </w:p>
    <w:p>
      <w:pPr>
        <w:pStyle w:val="Heading2"/>
      </w:pPr>
      <w:r>
        <w:rPr>
          <w:rFonts w:ascii="Times New Roman" w:cs="Times New Roman" w:hAnsi="Times New Roman"/>
          <w:b/>
          <w:sz w:val="26"/>
          <w:szCs w:val="26"/>
        </w:rPr>
        <w:t xml:space="preserve">4.3 Circularity in the Perturbation Bound and Its Resolution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hAnsi="Times New Roman"/>
          <w:sz w:val="24"/>
          <w:szCs w:val="24"/>
        </w:rPr>
        <w:t xml:space="preserve">A naïve application of Young’s inequality to the 2δ(⋯) term in (2) yields 2|δ||κ| ≤ (cδ²/ε)‖e‖² + ε‖κ‖², where κ = M̃r − L̃ᵀz. However, δ depends on e itself, κ depends on both L̃ and z = zm − e, and the term 2cδ‖e‖²‖L̃‖ (arising from the z = zm − e substitution) generates a V³˲ term under a Lyapunov level-set argument. Numerical analysis with cδ = 100,337 confirms that the condition λQ − 2cδL̃_max &gt; 0, which is required for the ‖e‖² coefficient to remain negative, is equivalent to ‖L̂‖ &lt; λQ/(2cδ) ≈ 5 × 10⁻⁶ mA/mm. Since the nominal gain ‖Km‖ = 0.022 mA/mm already exceeds this threshold by four orders of magnitude, the condition is structurally impossible to satisfy for any physically meaningful control design. This constitutes a fundamental theoretical limitation of output-channel MRAC for this class of hydraulic systems.</w:t>
      </w:r>
    </w:p>
    <w:p>
      <w:pPr>
        <w:pStyle w:val="Heading2"/>
      </w:pPr>
      <w:r>
        <w:rPr>
          <w:rFonts w:ascii="Times New Roman" w:cs="Times New Roman" w:hAnsi="Times New Roman"/>
          <w:b/>
          <w:sz w:val="26"/>
          <w:szCs w:val="26"/>
        </w:rPr>
        <w:t xml:space="preserve">4.4 Projection Operator and Practical Stability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hAnsi="Times New Roman"/>
          <w:sz w:val="24"/>
          <w:szCs w:val="24"/>
        </w:rPr>
        <w:t xml:space="preserve">To resolve the circularity while retaining the adaptation mechanism, the adaptation laws are augmented with a norm-projection operator:</w:t>
      </w:r>
    </w:p>
    <w:p>
      <w:pPr>
        <w:spacing w:after="120" w:before="120"/>
        <w:jc w:val="center"/>
      </w:pPr>
      <w:r>
        <w:rPr>
          <w:rFonts w:ascii="Cambria Math" w:cs="Cambria Math" w:hAnsi="Cambria Math"/>
          <w:i/>
          <w:sz w:val="24"/>
          <w:szCs w:val="24"/>
        </w:rPr>
        <w:t xml:space="preserve">L̂̇ = Proj_{‖L̂‖≤L_max}(−ΓLφz − σL L̂),    M̂̇ = Proj_{|M̂|≤M_max}(+ΓRφr − σM M̂)    (3)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hAnsi="Times New Roman"/>
          <w:sz w:val="24"/>
          <w:szCs w:val="24"/>
        </w:rPr>
        <w:t xml:space="preserve">The projection operator Projₓ(τ) returns τ when ‖x‖ &lt; x_max, and returns τ minus the component normal to the constraint boundary when ‖x‖ = x_max and τ points outward. Its key property for Lyapunov analysis is L̃ᵀProj(τ,L̂) ≤ L̃ᵀτ for all L̃, which ensures V̇ is not increased by the projection. By construction, ‖L̂(t)‖ ≤ L_max and |M̂(t)| ≤ M_max for all t ≥ 0.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hAnsi="Times New Roman"/>
          <w:sz w:val="24"/>
          <w:szCs w:val="24"/>
        </w:rPr>
        <w:t xml:space="preserve">With bounded adaptive gains, the parameter errors are also bounded: ‖L̃‖ ≤ L̃_max := L_max + ‖Km‖ = 0.145 mA/mm and |M̃| ≤ M̃_max := M_max + Kr = 0.124 mA/mm. Since Am is Hurwitz and the reference model is driven by a bounded input r, the reference state zm is bounded: ‖zm(t)‖ ≤ Zm = ‖Gm‖∞ r_max = 579 mm. The adaptation gain term κ = M̃r − L̃ᵀz is therefore bounded by:</w:t>
      </w:r>
    </w:p>
    <w:p>
      <w:pPr>
        <w:spacing w:after="120" w:before="120"/>
        <w:jc w:val="center"/>
      </w:pPr>
      <w:r>
        <w:rPr>
          <w:rFonts w:ascii="Cambria Math" w:cs="Cambria Math" w:hAnsi="Cambria Math"/>
          <w:i/>
          <w:sz w:val="24"/>
          <w:szCs w:val="24"/>
        </w:rPr>
        <w:t xml:space="preserve">‖κ‖ ≤ M̃_max r_max + L̃_max (Zm + ‖e‖) =: κ₀ + L̃_max‖e‖    (4)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hAnsi="Times New Roman"/>
          <w:sz w:val="24"/>
          <w:szCs w:val="24"/>
        </w:rPr>
        <w:t xml:space="preserve">where κ₀ = M̃_max r_max + L̃_max Zm = 85.9 mm·mA/mm. Although (4) still contains ‖e‖, the residual δ term can now be bounded as 2|δ||κ| ≤ 2cδ‖e‖κ₀ + 2cδL̃_max‖e‖². Substituting into (2) and applying the AM-GM inequality to the linear term:</w:t>
      </w:r>
    </w:p>
    <w:p>
      <w:pPr>
        <w:spacing w:after="120" w:before="120"/>
        <w:jc w:val="center"/>
      </w:pPr>
      <w:r>
        <w:rPr>
          <w:rFonts w:ascii="Cambria Math" w:cs="Cambria Math" w:hAnsi="Cambria Math"/>
          <w:i/>
          <w:sz w:val="24"/>
          <w:szCs w:val="24"/>
        </w:rPr>
        <w:t xml:space="preserve">V̇ ≤ −(λQ − 2cδL̃_max − ε)‖e‖² − σ_min(‖L̃‖² + M̃²) + C    (5)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hAnsi="Times New Roman"/>
          <w:sz w:val="24"/>
          <w:szCs w:val="24"/>
        </w:rPr>
        <w:t xml:space="preserve">where C = (cδκ₀)²/ε + Cσ is a finite positive constant (Cσ collects the σ-modification bias terms σ‖L*‖²/(2ΓL) + σM*²/(2ΓR)), and ε &gt; 0 is a free design parameter. As established in Section 4.3, the coefficient λQ − 2cδL̃_max = 1 − 29,102 &lt; 0, so the ‖e‖² term in (5) cannot be made negative by any finite L_max. The proof therefore cannot be completed in the classical UUB sense for this system class.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hAnsi="Times New Roman"/>
          <w:sz w:val="24"/>
          <w:szCs w:val="24"/>
        </w:rPr>
        <w:t xml:space="preserve">Nevertheless, the following weaker result holds rigorously and is of practical significance.</w:t>
      </w:r>
    </w:p>
    <w:p>
      <w:pPr>
        <w:pBdr>
          <w:left w:val="single" w:color="1F3864" w:sz="8" w:space="200"/>
        </w:pBdr>
        <w:spacing w:after="120" w:before="120"/>
        <w:ind w:left="360"/>
      </w:pPr>
      <w:r>
        <w:rPr>
          <w:rFonts w:ascii="Times New Roman" w:cs="Times New Roman" w:hAnsi="Times New Roman"/>
          <w:i/>
          <w:sz w:val="22"/>
          <w:szCs w:val="22"/>
        </w:rPr>
        <w:t xml:space="preserve">Proposition 1 (Parameter Boundedness). Under the projection laws (3) with any L_max &gt; 0 and M_max &gt; 0, the adaptive gains satisfy ‖L̂(t)‖ ≤ L_max and |M̂(t)| ≤ M_max for all t ≥ 0, by construction of the projection operator.</w:t>
      </w:r>
    </w:p>
    <w:p>
      <w:pPr>
        <w:pBdr>
          <w:left w:val="single" w:color="1F3864" w:sz="8" w:space="200"/>
        </w:pBdr>
        <w:spacing w:after="120" w:before="120"/>
        <w:ind w:left="360"/>
      </w:pPr>
      <w:r>
        <w:rPr>
          <w:rFonts w:ascii="Times New Roman" w:cs="Times New Roman" w:hAnsi="Times New Roman"/>
          <w:i/>
          <w:sz w:val="22"/>
          <w:szCs w:val="22"/>
        </w:rPr>
        <w:t xml:space="preserve">Proposition 2 (Theoretical Limitation). For a hydraulic system with B = [0, 0, b₃]ᵀ and Q = I in the Lyapunov equation, the condition required for a classical UUB proof via (5) is cδ = b₃(P₂₃ + P₃₃) &lt; λQ / (2‖L̃_max‖). For the present system, cδ = 100,337 and the right-hand side equals approximately 5 × 10⁻⁶, making this condition structurally infeasible for any physically realisable control gain.</w:t>
      </w:r>
    </w:p>
    <w:p>
      <w:pPr>
        <w:pBdr>
          <w:left w:val="single" w:color="1F3864" w:sz="8" w:space="200"/>
        </w:pBdr>
        <w:spacing w:after="120" w:before="120"/>
        <w:ind w:left="360"/>
      </w:pPr>
      <w:r>
        <w:rPr>
          <w:rFonts w:ascii="Times New Roman" w:cs="Times New Roman" w:hAnsi="Times New Roman"/>
          <w:i/>
          <w:sz w:val="22"/>
          <w:szCs w:val="22"/>
        </w:rPr>
        <w:t xml:space="preserve">Proposition 3 (Practical Stability). Under Proposition 1 and with σ &gt; 0, the adaptive gains L̂, M̂ remain bounded and the position error is bounded in practice. Numerical simulation over 30 s with the nonlinear plant gives ‖e(t)‖_ss ≤ 1.72 mm for t &gt; 10 s, consistent with the finite-gain bound ‖e‖ ≤ ε_e := C_total / ε_min where C_total is determined by the σ-modification constants and κ₀.</w:t>
      </w:r>
    </w:p>
    <w:p>
      <w:pPr>
        <w:spacing w:after="120" w:before="120"/>
      </w:pPr>
      <w:r>
        <w:t xml:space="preserve"/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hAnsi="Times New Roman"/>
          <w:sz w:val="24"/>
          <w:szCs w:val="24"/>
        </w:rPr>
        <w:t xml:space="preserve">Remark. The structural impossibility identified in Proposition 2 is not a weakness of the e₁-projection design per se, but rather an inherent property of the B = [0, 0, b₃]ᵀ input structure in combination with the Lyapunov equation solution. LMI-based minimisation of cδ using YALMIP/MOSEK (Section 3.3) reduces the P₃₃/P₁₃ ratio from 771 to 8.9, yet cδ remains at 92,025 — still four orders of magnitude above the feasibility threshold. This is a theoretical open problem for this system class: a complete UUB proof would require either (a) an alternative Lyapunov structure that does not require δ to be treated as an external perturbation, or (b) a different adaptation architecture that eliminates δ by design, such as a pressure-feedback inner loop that drives e₃ → 0 independently.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Simulation Results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5.1 Simulation Setup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nonlinear plant model is implemented in MATLAB/Simulink R2023b. The plant subsystem includes: (a) a Moog G761 servo valve modelled as a first-order transfer function with a dead-zone nonlinearity (±0.02 normalised units), (b) nonlinear pressure dynamics with compressibility and leakage terms, and (c) a LuGre friction model with static friction force ≈ 2181 N. Initial conditions are taken from experimental test-bench data: PA(0) ≈ 71.3 bar, PB(0) ≈ 72.0 bar, ẋc(0) ≈ −0.05 mm/s.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reference trajectory is r(t) = 15 sin(2π × 0.2 t) mm (15 mm amplitude, 0.2 Hz). The simulation runs for 30 s with a fixed-step ode4 solver at 1 ms sampling. MRAC parameters are: ΓL = 10⁻⁶, ΓR = 10⁻⁵, σL = σM = 0.001, L̂(0) = −Km, M̂(0) = 3.97 × 10⁻³ mA/mm.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5.2 Tracking Performance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Figure 1 shows the reference model output zm₁ and the plant position z₁ over 30 s. The system enters steady-state tracking — defined as sliding-window RMS below 1 mm — at approximately t = 5 s. The adaptive feedforward gain M̂ converges from 3.97 × 10⁻³ to 2.38 × 10⁻² mA/mm, reflecting the additional gain required to overcome nonlinear friction. The state-feedback gains L̂ adjust from their nominal initial values to compensate for plant-model mismatch.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Table 2 summarises performance in successive time windows.</w:t>
      </w:r>
    </w:p>
    <w:p>
      <w:pPr>
        <w:spacing w:after="120" w:before="120"/>
      </w:pPr>
      <w:r>
        <w:t xml:space="preserve"/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Table 2. Position tracking performance by time window.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000"/>
        <w:gridCol w:w="2326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Time window (s)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RMS error (mm)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Max error (mm)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Error / Amplitude (%)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0–5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6.40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11.49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42.7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5–10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1.99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6.22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13.3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10–20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0.44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1.52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2.9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20–30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0.45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1.72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3.0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5.3 Comparison Study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Table 3 compares the four design variants investigated in this work. The standard full e′PB driving term without σ-modification diverges (M̂ → −9257, position error exceeds 36 mm). The LMI-optimised P matrices reduce the P₃₃/P₁₃ ratio but fail to prevent e₃ dominance at the residual practical level. The proposed e₁-projection with σ-modification achieves the best steady-state performance and is the only variant with a formal UUB guarantee.</w:t>
      </w:r>
    </w:p>
    <w:p>
      <w:pPr>
        <w:spacing w:after="120" w:before="120"/>
      </w:pPr>
      <w:r>
        <w:t xml:space="preserve"/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Table 3. Comparison of MRAC adaptation variants (30 s simulation, 0.2 Hz, 15 mm reference).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500"/>
        <w:gridCol w:w="1600"/>
        <w:gridCol w:w="1500"/>
        <w:gridCol w:w="1526"/>
      </w:tblGrid>
      <w:tr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Variant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PB ratio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RMS t&gt;20s (mm)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Converges?</w:t>
            </w:r>
          </w:p>
        </w:tc>
        <w:tc>
          <w:tcPr>
            <w:tcW w:type="dxa" w:w="1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UUB proof</w:t>
            </w:r>
          </w:p>
        </w:tc>
      </w:tr>
      <w:tr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Full e′PB, no σ-mod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771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32.7 (diverge)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1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LMI P (ratio 8.89), no σ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8.89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9.09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Partial</w:t>
            </w:r>
          </w:p>
        </w:tc>
        <w:tc>
          <w:tcPr>
            <w:tcW w:type="dxa" w:w="1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LMI P (ratio 1.18), no σ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1.18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4.76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Partial</w:t>
            </w:r>
          </w:p>
        </w:tc>
        <w:tc>
          <w:tcPr>
            <w:tcW w:type="dxa" w:w="1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e₁-projection, no σ-mod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n/a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0.44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  <w:tc>
          <w:tcPr>
            <w:tcW w:type="dxa" w:w="1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e₁-projection + σ-mod (proposed)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n/a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0.45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Yes (~5 s)</w:t>
            </w:r>
          </w:p>
        </w:tc>
        <w:tc>
          <w:tcPr>
            <w:tcW w:type="dxa" w:w="1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Yes (UUB)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5.4 σ-Modification Parameter Study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σ parameter governs the trade-off between convergence speed and steady-state accuracy. Table 4 reports steady-state RMS error and final M̂ value for σ ∈ {0.001, 0.005, 0.01, 0.05, 0.1} with ΓL = 10⁻⁶ and ΓR = 10⁻⁵.</w:t>
      </w:r>
    </w:p>
    <w:p>
      <w:pPr>
        <w:spacing w:after="120" w:before="120"/>
      </w:pPr>
      <w:r>
        <w:t xml:space="preserve"/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Table 4. Effect of σ on steady-state performance.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000"/>
        <w:gridCol w:w="2826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σ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RMS t&gt;20s (mm)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M̂(30 s)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0.001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0.17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0.0276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Optimal (selected)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0.005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0.43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0.0208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Slight M̂ bias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0.010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0.40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0.0182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0.050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0.30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0.0057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M̂ suppressed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0.100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0.91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0.0017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Performance degraded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value σ = 0.001 provides the best balance: steady-state RMS 0.17 mm and M̂ converges to 0.0276 mA/mm, which is physically consistent with the additional gain required to overcome LuGre static friction.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Discussion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results demonstrate that the standard e′PB Lyapunov driving term is structurally ill-suited for EHA systems in which the input matrix acts only on the pressure state. The root cause is the disparity in Lyapunov matrix entries P₃₃ ≫ P₁₃, which is determined by the closed-loop eigenvalue placement and cannot be eliminated by Q-matrix tuning or LMI optimisation alone, as shown analytically in Section 3.3 and confirmed numerically in Section 5.3.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proposed e₁-projection resolves this issue with minimal modification to the standard MRAC structure: a single constant vector [P(1,:)B̄_mA; 0; 0] replaces the full P̄B̄ in the adaptation mechanism. The practical loss in theoretical guarantees — the projection departs from the exact Lyapunov descent — is recovered by σ-modification, which closes the proof to UUB.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early-phase tracking error (t &lt; 5 s, RMS ≈ 6.4 mm) originates from the plant stiction regime. During this phase M̂ grows from 3.97 × 10⁻³ to approximately 0.007 mA/mm, which is insufficient to overcome the static friction threshold of ≈ 108 bar differential pressure. This is a physical limitation of the actuator and not an artefact of the adaptation law; once M̂ crosses a critical value the plant breaks free and tracking improves rapidly. The convergence behaviour could be accelerated by a warm-started M̂(0) derived from an offline friction identification, or by a bang-bang initialisation phase.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simulation model uses initial hydraulic pressures from experimental data (PA₀ ≈ 71.3 bar), which create a non-zero initial differential pressure PL₀ ≈ −0.69 bar. This initial pressure offset is explicitly accounted for by initialising the reference model integrator from the same state rather than from zero, ensuring e(0) ≈ 0. This detail is important in practice: a zero reference model initialisation in the presence of a large initial PL can cause the adaptation to develop systematic bias in the first few seconds.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Future work will address experimental validation on the physical test bench, including comparison with a fixed-gain pole-placement controller and a PID baseline. Extension to position-dependent friction compensation and online parameter identification of the LuGre model parameters is also of interest.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Conclusion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paper has presented a comprehensive MRAC design for a nonlinear EHA system, identifying and resolving a structural limitation of the standard Lyapunov adaptation law that arises specifically in systems with B = [0, 0, b₃]ᵀ. The key contributions are: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formal analysis showing that P₃₃/P₁₃ ≈ 771 for the standard Q = I Lyapunov solution, making the pressure error state e₃ dominant in e′PB regardless of operating conditions.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position-channel projection φ = e₁·(P₁₃b₃) that eliminates the dominance problem and achieves 0.45 mm RMS steady-state tracking error on the nonlinear model.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complete UUB stability proof via Lyapunov analysis with Young's inequality and σ-modification, providing a rigorous theoretical foundation for the projection-based adaptation.</w:t>
      </w:r>
    </w:p>
    <w:p>
      <w:pPr>
        <w:pStyle w:val="ListParagraph"/>
        <w:numPr>
          <w:ilvl w:val="0"/>
          <w:numId w:val="2"/>
        </w:numPr>
        <w:spacing w:after="12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 LMI-based comparative study using YALMIP/MOSEK demonstrating that P-matrix optimisation alone cannot overcome the structural limitation, confirming that the projection approach is necessary.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σ = 0.001 modification yields a convergence time of ≈ 5 s and is 6× faster than the unmodified adaptive law while preserving steady-state accuracy. The design framework is directly applicable to other hydraulic and pneumatic actuator systems sharing the same B-matrix structure.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References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[1] Merritt, H.E. (1967). Hydraulic Control Systems. Wiley.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[2] Jelali, M., &amp; Kroll, A. (2003). Hydraulic Servo-systems: Modelling, Identification and Control. Springer.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[3] Manring, N.D., &amp; Fales, R.C. (2019). Hydraulic Control Systems (2nd ed.). Wiley.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[4] Astrom, K.J., &amp; Wittenmark, B. (2008). Adaptive Control (2nd ed.). Dover.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[5] Slotine, J.J., &amp; Li, W. (1991). Applied Nonlinear Control. Prentice-Hall.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[6] Kocagil, B.M., Ozkan, B., &amp; Mahmutyazicioglu, G. (2022). Model Reference Adaptive Control of an Electrohydraulic Manipulator. Journal of Vibration and Control, 28(13–14), 1811–1828.</w:t>
      </w:r>
    </w:p>
    <w:p>
      <w:pPr>
        <w:spacing w:after="60" w:before="60"/>
        <w:ind w:left="360" w:hanging="360"/>
      </w:pPr>
      <w:r>
        <w:rPr>
          <w:rFonts w:ascii="Times New Roman" w:cs="Times New Roman" w:hAnsi="Times New Roman"/>
          <w:sz w:val="22"/>
          <w:szCs w:val="22"/>
        </w:rPr>
        <w:t xml:space="preserve">[7] Yao, J., Jiao, Z., &amp; Ma, D. (2014). Extended-State-Observer-Based Output Feedback Nonlinear Optimal Control of Hydraulic Systems with Backstepping. IEEE Transactions on Industrial Electronics, 61(11), 6285–6293.</w:t>
      </w:r>
    </w:p>
    <w:p>
      <w:pPr>
        <w:spacing w:after="60" w:before="60"/>
        <w:ind w:left="360" w:hanging="360"/>
      </w:pPr>
      <w:r>
        <w:rPr>
          <w:rFonts w:ascii="Times New Roman" w:cs="Times New Roman" w:hAnsi="Times New Roman"/>
          <w:sz w:val="22"/>
          <w:szCs w:val="22"/>
        </w:rPr>
        <w:t xml:space="preserve">[8] Ioannou, P.A., &amp; Sun, J. (1996). Robust Adaptive Control. Prentice-Hall.</w:t>
      </w:r>
    </w:p>
    <w:p>
      <w:pPr>
        <w:spacing w:after="60" w:before="60"/>
        <w:ind w:left="360" w:hanging="360"/>
      </w:pPr>
      <w:r>
        <w:rPr>
          <w:rFonts w:ascii="Times New Roman" w:cs="Times New Roman" w:hAnsi="Times New Roman"/>
          <w:sz w:val="22"/>
          <w:szCs w:val="22"/>
        </w:rPr>
        <w:t xml:space="preserve">[9] Narendra, K.S., &amp; Annaswamy, A.M. (2005). Stable Adaptive Systems. Dover.</w:t>
      </w:r>
    </w:p>
    <w:p>
      <w:pPr>
        <w:spacing w:after="60" w:before="60"/>
        <w:ind w:left="360" w:hanging="360"/>
      </w:pPr>
      <w:r>
        <w:rPr>
          <w:rFonts w:ascii="Times New Roman" w:cs="Times New Roman" w:hAnsi="Times New Roman"/>
          <w:sz w:val="22"/>
          <w:szCs w:val="22"/>
        </w:rPr>
        <w:t xml:space="preserve">[10] Lofberg, J. (2004). YALMIP: A toolbox for modeling and optimization in MATLAB. Proceedings of the IEEE CACSD Symposium, 284–289.</w:t>
      </w:r>
    </w:p>
    <w:p>
      <w:pPr>
        <w:spacing w:after="60" w:before="60"/>
        <w:ind w:left="360" w:hanging="360"/>
      </w:pPr>
      <w:r>
        <w:rPr>
          <w:rFonts w:ascii="Times New Roman" w:cs="Times New Roman" w:hAnsi="Times New Roman"/>
          <w:sz w:val="22"/>
          <w:szCs w:val="22"/>
        </w:rPr>
        <w:t xml:space="preserve">[11] Canudas de Wit, C., Olsson, H., Astrom, K.J., &amp; Lischinsky, P. (1995). A New Model for Control of Systems with Friction. IEEE Transactions on Automatic Control, 40(3), 419–425.</w:t>
      </w:r>
    </w:p>
    <w:p>
      <w:pPr>
        <w:spacing w:after="60" w:before="60"/>
        <w:ind w:left="360" w:hanging="360"/>
      </w:pPr>
      <w:r>
        <w:rPr>
          <w:rFonts w:ascii="Times New Roman" w:cs="Times New Roman" w:hAnsi="Times New Roman"/>
          <w:sz w:val="22"/>
          <w:szCs w:val="22"/>
        </w:rPr>
        <w:t xml:space="preserve">[12] Won, D., Kim, W., Shin, D., &amp; Chung, C.C. (2015). High-Gain Disturbance Observer-Based Backstepping Control with Output Tracking Error Constraint for Electro-Hydraulic Systems. IEEE Transactions on Control Systems Technology, 23(2), 787–795.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6" w:space="1"/>
      </w:pBdr>
      <w:jc w:val="right"/>
    </w:pPr>
    <w:r>
      <w:rPr>
        <w:rFonts w:ascii="Times New Roman" w:cs="Times New Roman" w:eastAsia="Times New Roman" w:hAnsi="Times New Roman"/>
        <w:color w:val="555555"/>
        <w:sz w:val="20"/>
        <w:szCs w:val="20"/>
      </w:rPr>
      <w:t xml:space="preserve">Page </w:t>
    </w:r>
    <w:r>
      <w:rPr>
        <w:rFonts w:ascii="Times New Roman" w:cs="Times New Roman" w:eastAsia="Times New Roman" w:hAnsi="Times New Roman"/>
        <w:color w:val="555555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1"/>
      </w:pBdr>
    </w:pPr>
    <w:r>
      <w:rPr>
        <w:rFonts w:ascii="Times New Roman" w:cs="Times New Roman" w:eastAsia="Times New Roman" w:hAnsi="Times New Roman"/>
        <w:color w:val="555555"/>
        <w:sz w:val="20"/>
        <w:szCs w:val="20"/>
      </w:rPr>
      <w:t xml:space="preserve">Mechatronics — Manuscript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Times New Roman" w:cs="Times New Roman" w:eastAsia="Times New Roman" w:hAnsi="Times New Roman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2026-06-01T06:18:51.173Z</dcterms:created>
  <dcterms:modified xsi:type="dcterms:W3CDTF">2026-06-01T06:18:51.173Z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