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before="0" w:line="276" w:lineRule="auto"/>
      </w:pPr>
      <w:r>
        <w:rPr>
          <w:rFonts w:ascii="Calibri" w:hAnsi="Calibri"/>
          <w:b/>
          <w:i w:val="0"/>
          <w:color w:val="1A2B4C"/>
          <w:sz w:val="46"/>
        </w:rPr>
        <w:t>BI Deployment, Monitoring, Backup &amp; Recovery Strategy</w:t>
      </w:r>
    </w:p>
    <w:p>
      <w:pPr>
        <w:spacing w:after="280" w:before="0" w:line="276" w:lineRule="auto"/>
      </w:pPr>
      <w:r>
        <w:rPr>
          <w:rFonts w:ascii="Calibri" w:hAnsi="Calibri"/>
          <w:b w:val="0"/>
          <w:i/>
          <w:color w:val="2563EB"/>
          <w:sz w:val="25"/>
        </w:rPr>
        <w:t>Experiment 10: Enterprise Maintenance, Governance &amp; Business Continuity</w:t>
      </w:r>
    </w:p>
    <w:tbl>
      <w:tblPr>
        <w:tblW w:type="auto" w:w="0"/>
        <w:jc w:val="center"/>
        <w:tblLook w:firstColumn="1" w:firstRow="1" w:lastColumn="0" w:lastRow="0" w:noHBand="0" w:noVBand="1" w:val="04A0"/>
      </w:tblPr>
      <w:tblGrid>
        <w:gridCol w:w="4680"/>
        <w:gridCol w:w="4680"/>
      </w:tblGrid>
      <w:tr>
        <w:tc>
          <w:tcPr>
            <w:tcW w:type="dxa" w:w="4680"/>
            <w:shd w:fill="F8FAFC"/>
          </w:tcPr>
          <w:p>
            <w:pPr>
              <w:spacing w:after="40"/>
            </w:pPr>
            <w:r>
              <w:rPr>
                <w:rFonts w:ascii="Calibri" w:hAnsi="Calibri"/>
                <w:b/>
                <w:color w:val="1A2B4C"/>
                <w:sz w:val="19"/>
              </w:rPr>
              <w:t xml:space="preserve">Lab Experiment: </w:t>
            </w:r>
            <w:r>
              <w:rPr>
                <w:rFonts w:ascii="Calibri" w:hAnsi="Calibri"/>
                <w:color w:val="1E293B"/>
                <w:sz w:val="19"/>
              </w:rPr>
              <w:t>Experiment 10 — BI Deployment &amp; Maintenance</w:t>
            </w:r>
          </w:p>
        </w:tc>
        <w:tc>
          <w:tcPr>
            <w:tcW w:type="dxa" w:w="4680"/>
            <w:shd w:fill="F8FAFC"/>
          </w:tcPr>
          <w:p>
            <w:pPr>
              <w:spacing w:after="40"/>
            </w:pPr>
            <w:r>
              <w:rPr>
                <w:rFonts w:ascii="Calibri" w:hAnsi="Calibri"/>
                <w:b/>
                <w:color w:val="1A2B4C"/>
                <w:sz w:val="19"/>
              </w:rPr>
              <w:t xml:space="preserve">Dataset: </w:t>
            </w:r>
            <w:r>
              <w:rPr>
                <w:rFonts w:ascii="Calibri" w:hAnsi="Calibri"/>
                <w:color w:val="1E293B"/>
                <w:sz w:val="19"/>
              </w:rPr>
              <w:t>Global Superstore Dataset (51,290 Records)</w:t>
            </w:r>
          </w:p>
        </w:tc>
      </w:tr>
      <w:tr>
        <w:tc>
          <w:tcPr>
            <w:tcW w:type="dxa" w:w="4680"/>
            <w:shd w:fill="F8FAFC"/>
          </w:tcPr>
          <w:p>
            <w:pPr>
              <w:spacing w:after="40"/>
            </w:pPr>
            <w:r>
              <w:rPr>
                <w:rFonts w:ascii="Calibri" w:hAnsi="Calibri"/>
                <w:b/>
                <w:color w:val="1A2B4C"/>
                <w:sz w:val="19"/>
              </w:rPr>
              <w:t xml:space="preserve">Enterprise Platform: </w:t>
            </w:r>
            <w:r>
              <w:rPr>
                <w:rFonts w:ascii="Calibri" w:hAnsi="Calibri"/>
                <w:color w:val="1E293B"/>
                <w:sz w:val="19"/>
              </w:rPr>
              <w:t>Microsoft Power BI Desktop / Service, Azure DevOps</w:t>
            </w:r>
          </w:p>
        </w:tc>
        <w:tc>
          <w:tcPr>
            <w:tcW w:type="dxa" w:w="4680"/>
            <w:shd w:fill="F8FAFC"/>
          </w:tcPr>
          <w:p>
            <w:pPr>
              <w:spacing w:after="40"/>
            </w:pPr>
            <w:r>
              <w:rPr>
                <w:rFonts w:ascii="Calibri" w:hAnsi="Calibri"/>
                <w:b/>
                <w:color w:val="1A2B4C"/>
                <w:sz w:val="19"/>
              </w:rPr>
              <w:t xml:space="preserve">Deliverable Focus: </w:t>
            </w:r>
            <w:r>
              <w:rPr>
                <w:rFonts w:ascii="Calibri" w:hAnsi="Calibri"/>
                <w:color w:val="1E293B"/>
                <w:sz w:val="19"/>
              </w:rPr>
              <w:t>Deployment Plan, Monitoring Matrix, Disaster Recovery</w:t>
            </w:r>
          </w:p>
        </w:tc>
      </w:tr>
    </w:tbl>
    <w:p>
      <w:pPr>
        <w:spacing w:after="80"/>
      </w:pPr>
    </w:p>
    <w:p>
      <w:pPr>
        <w:spacing w:after="80" w:before="280" w:line="276" w:lineRule="auto"/>
        <w:pBdr>
          <w:bottom w:val="single" w:sz="8" w:space="4" w:color="2563EB"/>
        </w:pBdr>
      </w:pPr>
      <w:r>
        <w:rPr>
          <w:rFonts w:ascii="Calibri" w:hAnsi="Calibri"/>
          <w:b/>
          <w:i w:val="0"/>
          <w:color w:val="1A2B4C"/>
          <w:sz w:val="29"/>
        </w:rPr>
        <w:t>1. Aim &amp; Objectives</w:t>
      </w:r>
    </w:p>
    <w:p>
      <w:pPr>
        <w:spacing w:after="100" w:line="276" w:lineRule="auto"/>
      </w:pPr>
      <w:r>
        <w:rPr>
          <w:rFonts w:ascii="Calibri" w:hAnsi="Calibri"/>
          <w:color w:val="1E293B"/>
          <w:sz w:val="21"/>
        </w:rPr>
        <w:t>To understand and design comprehensive Business Intelligence deployment, operational telemetry monitoring, backup schedules, and disaster recovery procedures using Microsoft Power BI Desktop and Service. This strategy ensures high availability, operational reliability, and uninterrupted business continuity for critical organizational dashboards and analytical assets.</w:t>
      </w:r>
    </w:p>
    <w:p>
      <w:pPr>
        <w:pStyle w:val="ListBullet"/>
        <w:spacing w:after="70" w:line="276" w:lineRule="auto"/>
      </w:pPr>
      <w:r>
        <w:rPr>
          <w:rFonts w:ascii="Calibri" w:hAnsi="Calibri"/>
          <w:color w:val="1E293B"/>
          <w:sz w:val="21"/>
        </w:rPr>
        <w:t>Identify all BI assets (datasets, dashboards, reports, and workspaces) and formulate a staged deployment plan.</w:t>
      </w:r>
    </w:p>
    <w:p>
      <w:pPr>
        <w:pStyle w:val="ListBullet"/>
        <w:spacing w:after="70" w:line="276" w:lineRule="auto"/>
      </w:pPr>
      <w:r>
        <w:rPr>
          <w:rFonts w:ascii="Calibri" w:hAnsi="Calibri"/>
          <w:color w:val="1E293B"/>
          <w:sz w:val="21"/>
        </w:rPr>
        <w:t>Establish a structured Power BI workspace architecture, role governance (Admin, Member, Contributor, Viewer), and access controls.</w:t>
      </w:r>
    </w:p>
    <w:p>
      <w:pPr>
        <w:pStyle w:val="ListBullet"/>
        <w:spacing w:after="70" w:line="276" w:lineRule="auto"/>
      </w:pPr>
      <w:r>
        <w:rPr>
          <w:rFonts w:ascii="Calibri" w:hAnsi="Calibri"/>
          <w:color w:val="1E293B"/>
          <w:sz w:val="21"/>
        </w:rPr>
        <w:t>Design an operational telemetry monitoring matrix tracking dataset refresh status, dashboard adoption, and query performance.</w:t>
      </w:r>
    </w:p>
    <w:p>
      <w:pPr>
        <w:pStyle w:val="ListBullet"/>
        <w:spacing w:after="70" w:line="276" w:lineRule="auto"/>
      </w:pPr>
      <w:r>
        <w:rPr>
          <w:rFonts w:ascii="Calibri" w:hAnsi="Calibri"/>
          <w:color w:val="1E293B"/>
          <w:sz w:val="21"/>
        </w:rPr>
        <w:t>Define version-controlled backup schedules and standardized asset restoration workflows.</w:t>
      </w:r>
    </w:p>
    <w:p>
      <w:pPr>
        <w:pStyle w:val="ListBullet"/>
        <w:spacing w:after="70" w:line="276" w:lineRule="auto"/>
      </w:pPr>
      <w:r>
        <w:rPr>
          <w:rFonts w:ascii="Calibri" w:hAnsi="Calibri"/>
          <w:color w:val="1E293B"/>
          <w:sz w:val="21"/>
        </w:rPr>
        <w:t>Simulate an executive disaster recovery scenario (accidental dashboard deletion prior to an executive meeting) and establish emergency recovery protocols.</w:t>
      </w:r>
    </w:p>
    <w:p>
      <w:pPr>
        <w:spacing w:after="80" w:before="280" w:line="276" w:lineRule="auto"/>
        <w:pBdr>
          <w:bottom w:val="single" w:sz="8" w:space="4" w:color="2563EB"/>
        </w:pBdr>
      </w:pPr>
      <w:r>
        <w:rPr>
          <w:rFonts w:ascii="Calibri" w:hAnsi="Calibri"/>
          <w:b/>
          <w:i w:val="0"/>
          <w:color w:val="1A2B4C"/>
          <w:sz w:val="29"/>
        </w:rPr>
        <w:t>2. Supporting BI Dashboard Architecture</w:t>
      </w:r>
    </w:p>
    <w:p>
      <w:pPr>
        <w:spacing w:after="100" w:line="276" w:lineRule="auto"/>
      </w:pPr>
      <w:r>
        <w:rPr>
          <w:rFonts w:ascii="Calibri" w:hAnsi="Calibri"/>
          <w:color w:val="1E293B"/>
          <w:sz w:val="21"/>
        </w:rPr>
        <w:t>The operational lifecycle strategy governs the executive solution engineered across Experiments 6 through 9. The production asset library manages 51,290 global orders accounting for $12,642,501.91 in Total Sales, $1,467,457.29 in Total Profit, and 25,728 distinct transactions. Figure 10.1 displays the core executive interface, scorecard quotas, and regional breakdown which must be guarded against system outages and unauthorized alterations.</w:t>
      </w:r>
    </w:p>
    <w:p>
      <w:pPr>
        <w:spacing w:before="160" w:after="40"/>
        <w:jc w:val="center"/>
      </w:pPr>
      <w:r>
        <w:drawing>
          <wp:inline xmlns:a="http://schemas.openxmlformats.org/drawingml/2006/main" xmlns:pic="http://schemas.openxmlformats.org/drawingml/2006/picture">
            <wp:extent cx="5212080" cy="2969727"/>
            <wp:docPr id="1" name="Picture 1"/>
            <wp:cNvGraphicFramePr>
              <a:graphicFrameLocks noChangeAspect="1"/>
            </wp:cNvGraphicFramePr>
            <a:graphic>
              <a:graphicData uri="http://schemas.openxmlformats.org/drawingml/2006/picture">
                <pic:pic>
                  <pic:nvPicPr>
                    <pic:cNvPr id="0" name="input_file_4.png"/>
                    <pic:cNvPicPr/>
                  </pic:nvPicPr>
                  <pic:blipFill>
                    <a:blip r:embed="rId9"/>
                    <a:stretch>
                      <a:fillRect/>
                    </a:stretch>
                  </pic:blipFill>
                  <pic:spPr>
                    <a:xfrm>
                      <a:off x="0" y="0"/>
                      <a:ext cx="5212080" cy="2969727"/>
                    </a:xfrm>
                    <a:prstGeom prst="rect"/>
                  </pic:spPr>
                </pic:pic>
              </a:graphicData>
            </a:graphic>
          </wp:inline>
        </w:drawing>
      </w:r>
    </w:p>
    <w:p>
      <w:pPr>
        <w:spacing w:before="0" w:after="200"/>
        <w:jc w:val="center"/>
      </w:pPr>
      <w:r>
        <w:rPr>
          <w:rFonts w:ascii="Calibri" w:hAnsi="Calibri"/>
          <w:b/>
          <w:i/>
          <w:color w:val="64748B"/>
          <w:sz w:val="19"/>
        </w:rPr>
        <w:t>Figure 10.1: Global Superstore Executive Performance Dashboard Governed by BI Lifecycle Strategy</w:t>
      </w:r>
    </w:p>
    <w:p>
      <w:pPr>
        <w:spacing w:after="80" w:before="280" w:line="276" w:lineRule="auto"/>
        <w:pBdr>
          <w:bottom w:val="single" w:sz="8" w:space="4" w:color="2563EB"/>
        </w:pBdr>
      </w:pPr>
      <w:r>
        <w:rPr>
          <w:rFonts w:ascii="Calibri" w:hAnsi="Calibri"/>
          <w:b/>
          <w:i w:val="0"/>
          <w:color w:val="1A2B4C"/>
          <w:sz w:val="29"/>
        </w:rPr>
        <w:t>3. BI Deployment Planning &amp; Asset Inventory (Part A)</w:t>
      </w:r>
    </w:p>
    <w:p>
      <w:pPr>
        <w:spacing w:after="100" w:line="276" w:lineRule="auto"/>
      </w:pPr>
      <w:r>
        <w:rPr>
          <w:rFonts w:ascii="Calibri" w:hAnsi="Calibri"/>
          <w:color w:val="1E293B"/>
          <w:sz w:val="21"/>
        </w:rPr>
        <w:t>BI deployment transitions tested development artifacts into a governed, scalable production environment. A staged release pipeline ensures data integrity, verifies formula logic, and validates security permissions before exposing reports to end users. Table 10.1 inventories all core assets and defines their deployment sequencing.</w:t>
      </w:r>
    </w:p>
    <w:tbl>
      <w:tblPr>
        <w:tblW w:type="auto" w:w="0"/>
        <w:jc w:val="center"/>
        <w:tblLook w:firstColumn="1" w:firstRow="1" w:lastColumn="0" w:lastRow="0" w:noHBand="0" w:noVBand="1" w:val="04A0"/>
      </w:tblPr>
      <w:tblGrid>
        <w:gridCol w:w="1872"/>
        <w:gridCol w:w="1872"/>
        <w:gridCol w:w="1872"/>
        <w:gridCol w:w="1872"/>
        <w:gridCol w:w="1872"/>
      </w:tblGrid>
      <w:tr>
        <w:tc>
          <w:tcPr>
            <w:tcW w:type="dxa" w:w="1872"/>
            <w:shd w:fill="1A2B4C"/>
          </w:tcPr>
          <w:p>
            <w:pPr>
              <w:jc w:val="center"/>
            </w:pPr>
            <w:r>
              <w:rPr>
                <w:rFonts w:ascii="Calibri" w:hAnsi="Calibri"/>
                <w:b/>
                <w:color w:val="FFFFFF"/>
                <w:sz w:val="19"/>
              </w:rPr>
              <w:t>Asset Name</w:t>
            </w:r>
          </w:p>
        </w:tc>
        <w:tc>
          <w:tcPr>
            <w:tcW w:type="dxa" w:w="1872"/>
            <w:shd w:fill="1A2B4C"/>
          </w:tcPr>
          <w:p>
            <w:pPr>
              <w:jc w:val="center"/>
            </w:pPr>
            <w:r>
              <w:rPr>
                <w:rFonts w:ascii="Calibri" w:hAnsi="Calibri"/>
                <w:b/>
                <w:color w:val="FFFFFF"/>
                <w:sz w:val="19"/>
              </w:rPr>
              <w:t>Asset Type</w:t>
            </w:r>
          </w:p>
        </w:tc>
        <w:tc>
          <w:tcPr>
            <w:tcW w:type="dxa" w:w="1872"/>
            <w:shd w:fill="1A2B4C"/>
          </w:tcPr>
          <w:p>
            <w:pPr>
              <w:jc w:val="center"/>
            </w:pPr>
            <w:r>
              <w:rPr>
                <w:rFonts w:ascii="Calibri" w:hAnsi="Calibri"/>
                <w:b/>
                <w:color w:val="FFFFFF"/>
                <w:sz w:val="19"/>
              </w:rPr>
              <w:t>Deployment Target</w:t>
            </w:r>
          </w:p>
        </w:tc>
        <w:tc>
          <w:tcPr>
            <w:tcW w:type="dxa" w:w="1872"/>
            <w:shd w:fill="1A2B4C"/>
          </w:tcPr>
          <w:p>
            <w:pPr>
              <w:jc w:val="center"/>
            </w:pPr>
            <w:r>
              <w:rPr>
                <w:rFonts w:ascii="Calibri" w:hAnsi="Calibri"/>
                <w:b/>
                <w:color w:val="FFFFFF"/>
                <w:sz w:val="19"/>
              </w:rPr>
              <w:t>Lead Owner</w:t>
            </w:r>
          </w:p>
        </w:tc>
        <w:tc>
          <w:tcPr>
            <w:tcW w:type="dxa" w:w="1872"/>
            <w:shd w:fill="1A2B4C"/>
          </w:tcPr>
          <w:p>
            <w:pPr>
              <w:jc w:val="center"/>
            </w:pPr>
            <w:r>
              <w:rPr>
                <w:rFonts w:ascii="Calibri" w:hAnsi="Calibri"/>
                <w:b/>
                <w:color w:val="FFFFFF"/>
                <w:sz w:val="19"/>
              </w:rPr>
              <w:t>Validation &amp; Acceptance Method</w:t>
            </w:r>
          </w:p>
        </w:tc>
      </w:tr>
      <w:tr>
        <w:tc>
          <w:tcPr>
            <w:tcW w:type="dxa" w:w="1872"/>
            <w:shd w:fill="F8FAFC"/>
          </w:tcPr>
          <w:p>
            <w:pPr>
              <w:jc w:val="left"/>
            </w:pPr>
            <w:r>
              <w:rPr>
                <w:rFonts w:ascii="Calibri" w:hAnsi="Calibri"/>
                <w:b/>
                <w:color w:val="1E293B"/>
                <w:sz w:val="17"/>
              </w:rPr>
              <w:t>Global Superstore Orders Dataset</w:t>
            </w:r>
          </w:p>
        </w:tc>
        <w:tc>
          <w:tcPr>
            <w:tcW w:type="dxa" w:w="1872"/>
            <w:shd w:fill="F8FAFC"/>
          </w:tcPr>
          <w:p>
            <w:pPr>
              <w:jc w:val="left"/>
            </w:pPr>
            <w:r>
              <w:rPr>
                <w:rFonts w:ascii="Calibri" w:hAnsi="Calibri"/>
                <w:b w:val="0"/>
                <w:color w:val="1E293B"/>
                <w:sz w:val="17"/>
              </w:rPr>
              <w:t>Semantic Model / Dataset</w:t>
            </w:r>
          </w:p>
        </w:tc>
        <w:tc>
          <w:tcPr>
            <w:tcW w:type="dxa" w:w="1872"/>
            <w:shd w:fill="F8FAFC"/>
          </w:tcPr>
          <w:p>
            <w:pPr>
              <w:jc w:val="left"/>
            </w:pPr>
            <w:r>
              <w:rPr>
                <w:rFonts w:ascii="Calibri" w:hAnsi="Calibri"/>
                <w:b w:val="0"/>
                <w:color w:val="1E293B"/>
                <w:sz w:val="17"/>
              </w:rPr>
              <w:t>Power BI Service (Production Workspace)</w:t>
            </w:r>
          </w:p>
        </w:tc>
        <w:tc>
          <w:tcPr>
            <w:tcW w:type="dxa" w:w="1872"/>
            <w:shd w:fill="F8FAFC"/>
          </w:tcPr>
          <w:p>
            <w:pPr>
              <w:jc w:val="left"/>
            </w:pPr>
            <w:r>
              <w:rPr>
                <w:rFonts w:ascii="Calibri" w:hAnsi="Calibri"/>
                <w:b w:val="0"/>
                <w:color w:val="1E293B"/>
                <w:sz w:val="17"/>
              </w:rPr>
              <w:t>BI Data Engineer</w:t>
            </w:r>
          </w:p>
        </w:tc>
        <w:tc>
          <w:tcPr>
            <w:tcW w:type="dxa" w:w="1872"/>
            <w:shd w:fill="F8FAFC"/>
          </w:tcPr>
          <w:p>
            <w:pPr>
              <w:jc w:val="left"/>
            </w:pPr>
            <w:r>
              <w:rPr>
                <w:rFonts w:ascii="Calibri" w:hAnsi="Calibri"/>
                <w:b w:val="0"/>
                <w:color w:val="1E293B"/>
                <w:sz w:val="17"/>
              </w:rPr>
              <w:t>Row-count reconciliation (51,290 rows) and scheduled gateway refresh test.</w:t>
            </w:r>
          </w:p>
        </w:tc>
      </w:tr>
      <w:tr>
        <w:tc>
          <w:tcPr>
            <w:tcW w:type="dxa" w:w="1872"/>
            <w:shd w:fill="FFFFFF"/>
          </w:tcPr>
          <w:p>
            <w:pPr>
              <w:jc w:val="left"/>
            </w:pPr>
            <w:r>
              <w:rPr>
                <w:rFonts w:ascii="Calibri" w:hAnsi="Calibri"/>
                <w:b/>
                <w:color w:val="1E293B"/>
                <w:sz w:val="17"/>
              </w:rPr>
              <w:t>Executive Performance Dashboard</w:t>
            </w:r>
          </w:p>
        </w:tc>
        <w:tc>
          <w:tcPr>
            <w:tcW w:type="dxa" w:w="1872"/>
            <w:shd w:fill="FFFFFF"/>
          </w:tcPr>
          <w:p>
            <w:pPr>
              <w:jc w:val="left"/>
            </w:pPr>
            <w:r>
              <w:rPr>
                <w:rFonts w:ascii="Calibri" w:hAnsi="Calibri"/>
                <w:b w:val="0"/>
                <w:color w:val="1E293B"/>
                <w:sz w:val="17"/>
              </w:rPr>
              <w:t>Power BI Dashboard Tile Collection</w:t>
            </w:r>
          </w:p>
        </w:tc>
        <w:tc>
          <w:tcPr>
            <w:tcW w:type="dxa" w:w="1872"/>
            <w:shd w:fill="FFFFFF"/>
          </w:tcPr>
          <w:p>
            <w:pPr>
              <w:jc w:val="left"/>
            </w:pPr>
            <w:r>
              <w:rPr>
                <w:rFonts w:ascii="Calibri" w:hAnsi="Calibri"/>
                <w:b w:val="0"/>
                <w:color w:val="1E293B"/>
                <w:sz w:val="17"/>
              </w:rPr>
              <w:t>Executive App Workspace</w:t>
            </w:r>
          </w:p>
        </w:tc>
        <w:tc>
          <w:tcPr>
            <w:tcW w:type="dxa" w:w="1872"/>
            <w:shd w:fill="FFFFFF"/>
          </w:tcPr>
          <w:p>
            <w:pPr>
              <w:jc w:val="left"/>
            </w:pPr>
            <w:r>
              <w:rPr>
                <w:rFonts w:ascii="Calibri" w:hAnsi="Calibri"/>
                <w:b w:val="0"/>
                <w:color w:val="1E293B"/>
                <w:sz w:val="17"/>
              </w:rPr>
              <w:t>BI Lead Architect</w:t>
            </w:r>
          </w:p>
        </w:tc>
        <w:tc>
          <w:tcPr>
            <w:tcW w:type="dxa" w:w="1872"/>
            <w:shd w:fill="FFFFFF"/>
          </w:tcPr>
          <w:p>
            <w:pPr>
              <w:jc w:val="left"/>
            </w:pPr>
            <w:r>
              <w:rPr>
                <w:rFonts w:ascii="Calibri" w:hAnsi="Calibri"/>
                <w:b w:val="0"/>
                <w:color w:val="1E293B"/>
                <w:sz w:val="17"/>
              </w:rPr>
              <w:t>Verify 4 core KPI card values ($12.64M sales, $1.47M profit) and mobile rendering.</w:t>
            </w:r>
          </w:p>
        </w:tc>
      </w:tr>
      <w:tr>
        <w:tc>
          <w:tcPr>
            <w:tcW w:type="dxa" w:w="1872"/>
            <w:shd w:fill="F8FAFC"/>
          </w:tcPr>
          <w:p>
            <w:pPr>
              <w:jc w:val="left"/>
            </w:pPr>
            <w:r>
              <w:rPr>
                <w:rFonts w:ascii="Calibri" w:hAnsi="Calibri"/>
                <w:b/>
                <w:color w:val="1E293B"/>
                <w:sz w:val="17"/>
              </w:rPr>
              <w:t>Regional Sales Diagnostic Report</w:t>
            </w:r>
          </w:p>
        </w:tc>
        <w:tc>
          <w:tcPr>
            <w:tcW w:type="dxa" w:w="1872"/>
            <w:shd w:fill="F8FAFC"/>
          </w:tcPr>
          <w:p>
            <w:pPr>
              <w:jc w:val="left"/>
            </w:pPr>
            <w:r>
              <w:rPr>
                <w:rFonts w:ascii="Calibri" w:hAnsi="Calibri"/>
                <w:b w:val="0"/>
                <w:color w:val="1E293B"/>
                <w:sz w:val="17"/>
              </w:rPr>
              <w:t>Interactive PBIX Report</w:t>
            </w:r>
          </w:p>
        </w:tc>
        <w:tc>
          <w:tcPr>
            <w:tcW w:type="dxa" w:w="1872"/>
            <w:shd w:fill="F8FAFC"/>
          </w:tcPr>
          <w:p>
            <w:pPr>
              <w:jc w:val="left"/>
            </w:pPr>
            <w:r>
              <w:rPr>
                <w:rFonts w:ascii="Calibri" w:hAnsi="Calibri"/>
                <w:b w:val="0"/>
                <w:color w:val="1E293B"/>
                <w:sz w:val="17"/>
              </w:rPr>
              <w:t>Commercial App Workspace</w:t>
            </w:r>
          </w:p>
        </w:tc>
        <w:tc>
          <w:tcPr>
            <w:tcW w:type="dxa" w:w="1872"/>
            <w:shd w:fill="F8FAFC"/>
          </w:tcPr>
          <w:p>
            <w:pPr>
              <w:jc w:val="left"/>
            </w:pPr>
            <w:r>
              <w:rPr>
                <w:rFonts w:ascii="Calibri" w:hAnsi="Calibri"/>
                <w:b w:val="0"/>
                <w:color w:val="1E293B"/>
                <w:sz w:val="17"/>
              </w:rPr>
              <w:t>Senior BI Developer</w:t>
            </w:r>
          </w:p>
        </w:tc>
        <w:tc>
          <w:tcPr>
            <w:tcW w:type="dxa" w:w="1872"/>
            <w:shd w:fill="F8FAFC"/>
          </w:tcPr>
          <w:p>
            <w:pPr>
              <w:jc w:val="left"/>
            </w:pPr>
            <w:r>
              <w:rPr>
                <w:rFonts w:ascii="Calibri" w:hAnsi="Calibri"/>
                <w:b w:val="0"/>
                <w:color w:val="1E293B"/>
                <w:sz w:val="17"/>
              </w:rPr>
              <w:t>Test interactive regional slicers, Top 10 customer filters, and RLS rules.</w:t>
            </w:r>
          </w:p>
        </w:tc>
      </w:tr>
      <w:tr>
        <w:tc>
          <w:tcPr>
            <w:tcW w:type="dxa" w:w="1872"/>
            <w:shd w:fill="FFFFFF"/>
          </w:tcPr>
          <w:p>
            <w:pPr>
              <w:jc w:val="left"/>
            </w:pPr>
            <w:r>
              <w:rPr>
                <w:rFonts w:ascii="Calibri" w:hAnsi="Calibri"/>
                <w:b/>
                <w:color w:val="1E293B"/>
                <w:sz w:val="17"/>
              </w:rPr>
              <w:t>Target Scorecard Matrix</w:t>
            </w:r>
          </w:p>
        </w:tc>
        <w:tc>
          <w:tcPr>
            <w:tcW w:type="dxa" w:w="1872"/>
            <w:shd w:fill="FFFFFF"/>
          </w:tcPr>
          <w:p>
            <w:pPr>
              <w:jc w:val="left"/>
            </w:pPr>
            <w:r>
              <w:rPr>
                <w:rFonts w:ascii="Calibri" w:hAnsi="Calibri"/>
                <w:b w:val="0"/>
                <w:color w:val="1E293B"/>
                <w:sz w:val="17"/>
              </w:rPr>
              <w:t>Scorecard / Metrics Visual</w:t>
            </w:r>
          </w:p>
        </w:tc>
        <w:tc>
          <w:tcPr>
            <w:tcW w:type="dxa" w:w="1872"/>
            <w:shd w:fill="FFFFFF"/>
          </w:tcPr>
          <w:p>
            <w:pPr>
              <w:jc w:val="left"/>
            </w:pPr>
            <w:r>
              <w:rPr>
                <w:rFonts w:ascii="Calibri" w:hAnsi="Calibri"/>
                <w:b w:val="0"/>
                <w:color w:val="1E293B"/>
                <w:sz w:val="17"/>
              </w:rPr>
              <w:t>Executive Dashboard</w:t>
            </w:r>
          </w:p>
        </w:tc>
        <w:tc>
          <w:tcPr>
            <w:tcW w:type="dxa" w:w="1872"/>
            <w:shd w:fill="FFFFFF"/>
          </w:tcPr>
          <w:p>
            <w:pPr>
              <w:jc w:val="left"/>
            </w:pPr>
            <w:r>
              <w:rPr>
                <w:rFonts w:ascii="Calibri" w:hAnsi="Calibri"/>
                <w:b w:val="0"/>
                <w:color w:val="1E293B"/>
                <w:sz w:val="17"/>
              </w:rPr>
              <w:t>BI Operations Analyst</w:t>
            </w:r>
          </w:p>
        </w:tc>
        <w:tc>
          <w:tcPr>
            <w:tcW w:type="dxa" w:w="1872"/>
            <w:shd w:fill="FFFFFF"/>
          </w:tcPr>
          <w:p>
            <w:pPr>
              <w:jc w:val="left"/>
            </w:pPr>
            <w:r>
              <w:rPr>
                <w:rFonts w:ascii="Calibri" w:hAnsi="Calibri"/>
                <w:b w:val="0"/>
                <w:color w:val="1E293B"/>
                <w:sz w:val="17"/>
              </w:rPr>
              <w:t>Validate target thresholds ($13M sales, $1.5M profit) and status color formatting.</w:t>
            </w:r>
          </w:p>
        </w:tc>
      </w:tr>
      <w:tr>
        <w:tc>
          <w:tcPr>
            <w:tcW w:type="dxa" w:w="1872"/>
            <w:shd w:fill="F8FAFC"/>
          </w:tcPr>
          <w:p>
            <w:pPr>
              <w:jc w:val="left"/>
            </w:pPr>
            <w:r>
              <w:rPr>
                <w:rFonts w:ascii="Calibri" w:hAnsi="Calibri"/>
                <w:b/>
                <w:color w:val="1E293B"/>
                <w:sz w:val="17"/>
              </w:rPr>
              <w:t>Global Superstore RLS Security Model</w:t>
            </w:r>
          </w:p>
        </w:tc>
        <w:tc>
          <w:tcPr>
            <w:tcW w:type="dxa" w:w="1872"/>
            <w:shd w:fill="F8FAFC"/>
          </w:tcPr>
          <w:p>
            <w:pPr>
              <w:jc w:val="left"/>
            </w:pPr>
            <w:r>
              <w:rPr>
                <w:rFonts w:ascii="Calibri" w:hAnsi="Calibri"/>
                <w:b w:val="0"/>
                <w:color w:val="1E293B"/>
                <w:sz w:val="17"/>
              </w:rPr>
              <w:t>Security Role Configuration</w:t>
            </w:r>
          </w:p>
        </w:tc>
        <w:tc>
          <w:tcPr>
            <w:tcW w:type="dxa" w:w="1872"/>
            <w:shd w:fill="F8FAFC"/>
          </w:tcPr>
          <w:p>
            <w:pPr>
              <w:jc w:val="left"/>
            </w:pPr>
            <w:r>
              <w:rPr>
                <w:rFonts w:ascii="Calibri" w:hAnsi="Calibri"/>
                <w:b w:val="0"/>
                <w:color w:val="1E293B"/>
                <w:sz w:val="17"/>
              </w:rPr>
              <w:t>Power BI Dataset Security</w:t>
            </w:r>
          </w:p>
        </w:tc>
        <w:tc>
          <w:tcPr>
            <w:tcW w:type="dxa" w:w="1872"/>
            <w:shd w:fill="F8FAFC"/>
          </w:tcPr>
          <w:p>
            <w:pPr>
              <w:jc w:val="left"/>
            </w:pPr>
            <w:r>
              <w:rPr>
                <w:rFonts w:ascii="Calibri" w:hAnsi="Calibri"/>
                <w:b w:val="0"/>
                <w:color w:val="1E293B"/>
                <w:sz w:val="17"/>
              </w:rPr>
              <w:t>Security Admin</w:t>
            </w:r>
          </w:p>
        </w:tc>
        <w:tc>
          <w:tcPr>
            <w:tcW w:type="dxa" w:w="1872"/>
            <w:shd w:fill="F8FAFC"/>
          </w:tcPr>
          <w:p>
            <w:pPr>
              <w:jc w:val="left"/>
            </w:pPr>
            <w:r>
              <w:rPr>
                <w:rFonts w:ascii="Calibri" w:hAnsi="Calibri"/>
                <w:b w:val="0"/>
                <w:color w:val="1E293B"/>
                <w:sz w:val="17"/>
              </w:rPr>
              <w:t>Execute 'View as Role' audits; verify Western Europe sees strictly $1.73M sales.</w:t>
            </w:r>
          </w:p>
        </w:tc>
      </w:tr>
    </w:tbl>
    <w:p>
      <w:pPr>
        <w:spacing w:after="80"/>
      </w:pPr>
    </w:p>
    <w:p>
      <w:pPr>
        <w:spacing w:after="80" w:before="280" w:line="276" w:lineRule="auto"/>
        <w:pBdr>
          <w:bottom w:val="single" w:sz="8" w:space="4" w:color="2563EB"/>
        </w:pBdr>
      </w:pPr>
      <w:r>
        <w:rPr>
          <w:rFonts w:ascii="Calibri" w:hAnsi="Calibri"/>
          <w:b/>
          <w:i w:val="0"/>
          <w:color w:val="1A2B4C"/>
          <w:sz w:val="29"/>
        </w:rPr>
        <w:t>4. Workspace Architecture &amp; Role Governance (Part B)</w:t>
      </w:r>
    </w:p>
    <w:p>
      <w:pPr>
        <w:spacing w:after="100" w:line="276" w:lineRule="auto"/>
      </w:pPr>
      <w:r>
        <w:rPr>
          <w:rFonts w:ascii="Calibri" w:hAnsi="Calibri"/>
          <w:color w:val="1E293B"/>
          <w:sz w:val="21"/>
        </w:rPr>
        <w:t>A resilient BI deployment requires segregating development, testing, and production content. Power BI Workspaces provide organizational boundaries, while Power BI Apps distribute approved, read-only content to business consumers. Table 10.2 details the workspace role assignment structure.</w:t>
      </w:r>
    </w:p>
    <w:tbl>
      <w:tblPr>
        <w:tblW w:type="auto" w:w="0"/>
        <w:jc w:val="center"/>
        <w:tblLook w:firstColumn="1" w:firstRow="1" w:lastColumn="0" w:lastRow="0" w:noHBand="0" w:noVBand="1" w:val="04A0"/>
      </w:tblPr>
      <w:tblGrid>
        <w:gridCol w:w="2340"/>
        <w:gridCol w:w="2340"/>
        <w:gridCol w:w="2340"/>
        <w:gridCol w:w="2340"/>
      </w:tblGrid>
      <w:tr>
        <w:tc>
          <w:tcPr>
            <w:tcW w:type="dxa" w:w="2340"/>
            <w:shd w:fill="1A2B4C"/>
          </w:tcPr>
          <w:p>
            <w:pPr>
              <w:jc w:val="center"/>
            </w:pPr>
            <w:r>
              <w:rPr>
                <w:rFonts w:ascii="Calibri" w:hAnsi="Calibri"/>
                <w:b/>
                <w:color w:val="FFFFFF"/>
                <w:sz w:val="19"/>
              </w:rPr>
              <w:t>Workspace Role</w:t>
            </w:r>
          </w:p>
        </w:tc>
        <w:tc>
          <w:tcPr>
            <w:tcW w:type="dxa" w:w="2340"/>
            <w:shd w:fill="1A2B4C"/>
          </w:tcPr>
          <w:p>
            <w:pPr>
              <w:jc w:val="center"/>
            </w:pPr>
            <w:r>
              <w:rPr>
                <w:rFonts w:ascii="Calibri" w:hAnsi="Calibri"/>
                <w:b/>
                <w:color w:val="FFFFFF"/>
                <w:sz w:val="19"/>
              </w:rPr>
              <w:t>Assigned Personnel</w:t>
            </w:r>
          </w:p>
        </w:tc>
        <w:tc>
          <w:tcPr>
            <w:tcW w:type="dxa" w:w="2340"/>
            <w:shd w:fill="1A2B4C"/>
          </w:tcPr>
          <w:p>
            <w:pPr>
              <w:jc w:val="center"/>
            </w:pPr>
            <w:r>
              <w:rPr>
                <w:rFonts w:ascii="Calibri" w:hAnsi="Calibri"/>
                <w:b/>
                <w:color w:val="FFFFFF"/>
                <w:sz w:val="19"/>
              </w:rPr>
              <w:t>Granted Capabilities</w:t>
            </w:r>
          </w:p>
        </w:tc>
        <w:tc>
          <w:tcPr>
            <w:tcW w:type="dxa" w:w="2340"/>
            <w:shd w:fill="1A2B4C"/>
          </w:tcPr>
          <w:p>
            <w:pPr>
              <w:jc w:val="center"/>
            </w:pPr>
            <w:r>
              <w:rPr>
                <w:rFonts w:ascii="Calibri" w:hAnsi="Calibri"/>
                <w:b/>
                <w:color w:val="FFFFFF"/>
                <w:sz w:val="19"/>
              </w:rPr>
              <w:t>Restrictions &amp; Security Controls</w:t>
            </w:r>
          </w:p>
        </w:tc>
      </w:tr>
      <w:tr>
        <w:tc>
          <w:tcPr>
            <w:tcW w:type="dxa" w:w="2340"/>
            <w:shd w:fill="F8FAFC"/>
          </w:tcPr>
          <w:p>
            <w:pPr>
              <w:jc w:val="left"/>
            </w:pPr>
            <w:r>
              <w:rPr>
                <w:rFonts w:ascii="Calibri" w:hAnsi="Calibri"/>
                <w:b/>
                <w:color w:val="1E293B"/>
                <w:sz w:val="17"/>
              </w:rPr>
              <w:t>Admin</w:t>
            </w:r>
          </w:p>
        </w:tc>
        <w:tc>
          <w:tcPr>
            <w:tcW w:type="dxa" w:w="2340"/>
            <w:shd w:fill="F8FAFC"/>
          </w:tcPr>
          <w:p>
            <w:pPr>
              <w:jc w:val="left"/>
            </w:pPr>
            <w:r>
              <w:rPr>
                <w:rFonts w:ascii="Calibri" w:hAnsi="Calibri"/>
                <w:b w:val="0"/>
                <w:color w:val="1E293B"/>
                <w:sz w:val="17"/>
              </w:rPr>
              <w:t>BI Delivery Director, Lead BI Architect</w:t>
            </w:r>
          </w:p>
        </w:tc>
        <w:tc>
          <w:tcPr>
            <w:tcW w:type="dxa" w:w="2340"/>
            <w:shd w:fill="F8FAFC"/>
          </w:tcPr>
          <w:p>
            <w:pPr>
              <w:jc w:val="left"/>
            </w:pPr>
            <w:r>
              <w:rPr>
                <w:rFonts w:ascii="Calibri" w:hAnsi="Calibri"/>
                <w:b w:val="0"/>
                <w:color w:val="1E293B"/>
                <w:sz w:val="17"/>
              </w:rPr>
              <w:t>Full control: update workspace settings, assign/remove members, delete workspace, configure gateways.</w:t>
            </w:r>
          </w:p>
        </w:tc>
        <w:tc>
          <w:tcPr>
            <w:tcW w:type="dxa" w:w="2340"/>
            <w:shd w:fill="F8FAFC"/>
          </w:tcPr>
          <w:p>
            <w:pPr>
              <w:jc w:val="left"/>
            </w:pPr>
            <w:r>
              <w:rPr>
                <w:rFonts w:ascii="Calibri" w:hAnsi="Calibri"/>
                <w:b w:val="0"/>
                <w:color w:val="1E293B"/>
                <w:sz w:val="17"/>
              </w:rPr>
              <w:t>Restricted to 2 named senior technical leads to eliminate single points of failure.</w:t>
            </w:r>
          </w:p>
        </w:tc>
      </w:tr>
      <w:tr>
        <w:tc>
          <w:tcPr>
            <w:tcW w:type="dxa" w:w="2340"/>
            <w:shd w:fill="FFFFFF"/>
          </w:tcPr>
          <w:p>
            <w:pPr>
              <w:jc w:val="left"/>
            </w:pPr>
            <w:r>
              <w:rPr>
                <w:rFonts w:ascii="Calibri" w:hAnsi="Calibri"/>
                <w:b/>
                <w:color w:val="1E293B"/>
                <w:sz w:val="17"/>
              </w:rPr>
              <w:t>Member</w:t>
            </w:r>
          </w:p>
        </w:tc>
        <w:tc>
          <w:tcPr>
            <w:tcW w:type="dxa" w:w="2340"/>
            <w:shd w:fill="FFFFFF"/>
          </w:tcPr>
          <w:p>
            <w:pPr>
              <w:jc w:val="left"/>
            </w:pPr>
            <w:r>
              <w:rPr>
                <w:rFonts w:ascii="Calibri" w:hAnsi="Calibri"/>
                <w:b w:val="0"/>
                <w:color w:val="1E293B"/>
                <w:sz w:val="17"/>
              </w:rPr>
              <w:t>Senior BI Developers, Data Engineers</w:t>
            </w:r>
          </w:p>
        </w:tc>
        <w:tc>
          <w:tcPr>
            <w:tcW w:type="dxa" w:w="2340"/>
            <w:shd w:fill="FFFFFF"/>
          </w:tcPr>
          <w:p>
            <w:pPr>
              <w:jc w:val="left"/>
            </w:pPr>
            <w:r>
              <w:rPr>
                <w:rFonts w:ascii="Calibri" w:hAnsi="Calibri"/>
                <w:b w:val="0"/>
                <w:color w:val="1E293B"/>
                <w:sz w:val="17"/>
              </w:rPr>
              <w:t>Publish content, edit reports/dashboards, configure scheduled refreshes, share apps with users.</w:t>
            </w:r>
          </w:p>
        </w:tc>
        <w:tc>
          <w:tcPr>
            <w:tcW w:type="dxa" w:w="2340"/>
            <w:shd w:fill="FFFFFF"/>
          </w:tcPr>
          <w:p>
            <w:pPr>
              <w:jc w:val="left"/>
            </w:pPr>
            <w:r>
              <w:rPr>
                <w:rFonts w:ascii="Calibri" w:hAnsi="Calibri"/>
                <w:b w:val="0"/>
                <w:color w:val="1E293B"/>
                <w:sz w:val="17"/>
              </w:rPr>
              <w:t>Cannot delete production workspace or modify Admin permissions.</w:t>
            </w:r>
          </w:p>
        </w:tc>
      </w:tr>
      <w:tr>
        <w:tc>
          <w:tcPr>
            <w:tcW w:type="dxa" w:w="2340"/>
            <w:shd w:fill="F8FAFC"/>
          </w:tcPr>
          <w:p>
            <w:pPr>
              <w:jc w:val="left"/>
            </w:pPr>
            <w:r>
              <w:rPr>
                <w:rFonts w:ascii="Calibri" w:hAnsi="Calibri"/>
                <w:b/>
                <w:color w:val="1E293B"/>
                <w:sz w:val="17"/>
              </w:rPr>
              <w:t>Contributor</w:t>
            </w:r>
          </w:p>
        </w:tc>
        <w:tc>
          <w:tcPr>
            <w:tcW w:type="dxa" w:w="2340"/>
            <w:shd w:fill="F8FAFC"/>
          </w:tcPr>
          <w:p>
            <w:pPr>
              <w:jc w:val="left"/>
            </w:pPr>
            <w:r>
              <w:rPr>
                <w:rFonts w:ascii="Calibri" w:hAnsi="Calibri"/>
                <w:b w:val="0"/>
                <w:color w:val="1E293B"/>
                <w:sz w:val="17"/>
              </w:rPr>
              <w:t>Business Analysts, Financial Modelers</w:t>
            </w:r>
          </w:p>
        </w:tc>
        <w:tc>
          <w:tcPr>
            <w:tcW w:type="dxa" w:w="2340"/>
            <w:shd w:fill="F8FAFC"/>
          </w:tcPr>
          <w:p>
            <w:pPr>
              <w:jc w:val="left"/>
            </w:pPr>
            <w:r>
              <w:rPr>
                <w:rFonts w:ascii="Calibri" w:hAnsi="Calibri"/>
                <w:b w:val="0"/>
                <w:color w:val="1E293B"/>
                <w:sz w:val="17"/>
              </w:rPr>
              <w:t>Create, edit, and modify reports and dataset definitions inside the workspace.</w:t>
            </w:r>
          </w:p>
        </w:tc>
        <w:tc>
          <w:tcPr>
            <w:tcW w:type="dxa" w:w="2340"/>
            <w:shd w:fill="F8FAFC"/>
          </w:tcPr>
          <w:p>
            <w:pPr>
              <w:jc w:val="left"/>
            </w:pPr>
            <w:r>
              <w:rPr>
                <w:rFonts w:ascii="Calibri" w:hAnsi="Calibri"/>
                <w:b w:val="0"/>
                <w:color w:val="1E293B"/>
                <w:sz w:val="17"/>
              </w:rPr>
              <w:t>Cannot publish workspace apps, modify workspace access, or share items externally.</w:t>
            </w:r>
          </w:p>
        </w:tc>
      </w:tr>
      <w:tr>
        <w:tc>
          <w:tcPr>
            <w:tcW w:type="dxa" w:w="2340"/>
            <w:shd w:fill="FFFFFF"/>
          </w:tcPr>
          <w:p>
            <w:pPr>
              <w:jc w:val="left"/>
            </w:pPr>
            <w:r>
              <w:rPr>
                <w:rFonts w:ascii="Calibri" w:hAnsi="Calibri"/>
                <w:b/>
                <w:color w:val="1E293B"/>
                <w:sz w:val="17"/>
              </w:rPr>
              <w:t>Viewer</w:t>
            </w:r>
          </w:p>
        </w:tc>
        <w:tc>
          <w:tcPr>
            <w:tcW w:type="dxa" w:w="2340"/>
            <w:shd w:fill="FFFFFF"/>
          </w:tcPr>
          <w:p>
            <w:pPr>
              <w:jc w:val="left"/>
            </w:pPr>
            <w:r>
              <w:rPr>
                <w:rFonts w:ascii="Calibri" w:hAnsi="Calibri"/>
                <w:b w:val="0"/>
                <w:color w:val="1E293B"/>
                <w:sz w:val="17"/>
              </w:rPr>
              <w:t>CEO, Department Heads, Regional Managers, Field Staff</w:t>
            </w:r>
          </w:p>
        </w:tc>
        <w:tc>
          <w:tcPr>
            <w:tcW w:type="dxa" w:w="2340"/>
            <w:shd w:fill="FFFFFF"/>
          </w:tcPr>
          <w:p>
            <w:pPr>
              <w:jc w:val="left"/>
            </w:pPr>
            <w:r>
              <w:rPr>
                <w:rFonts w:ascii="Calibri" w:hAnsi="Calibri"/>
                <w:b w:val="0"/>
                <w:color w:val="1E293B"/>
                <w:sz w:val="17"/>
              </w:rPr>
              <w:t>View and interact with published reports/dashboards; read data via Power BI Apps.</w:t>
            </w:r>
          </w:p>
        </w:tc>
        <w:tc>
          <w:tcPr>
            <w:tcW w:type="dxa" w:w="2340"/>
            <w:shd w:fill="FFFFFF"/>
          </w:tcPr>
          <w:p>
            <w:pPr>
              <w:jc w:val="left"/>
            </w:pPr>
            <w:r>
              <w:rPr>
                <w:rFonts w:ascii="Calibri" w:hAnsi="Calibri"/>
                <w:b w:val="0"/>
                <w:color w:val="1E293B"/>
                <w:sz w:val="17"/>
              </w:rPr>
              <w:t>Strictly read-only; cannot edit visuals, export underlying data models, or alter filters.</w:t>
            </w:r>
          </w:p>
        </w:tc>
      </w:tr>
    </w:tbl>
    <w:p>
      <w:pPr>
        <w:spacing w:after="80"/>
      </w:pPr>
    </w:p>
    <w:p>
      <w:pPr>
        <w:spacing w:after="60" w:before="160" w:line="276" w:lineRule="auto"/>
      </w:pPr>
      <w:r>
        <w:rPr>
          <w:rFonts w:ascii="Calibri" w:hAnsi="Calibri"/>
          <w:b/>
          <w:i w:val="0"/>
          <w:color w:val="1A2B4C"/>
          <w:sz w:val="24"/>
        </w:rPr>
        <w:t>Enterprise Workspace Governance Guidelines</w:t>
      </w:r>
    </w:p>
    <w:p>
      <w:pPr>
        <w:pStyle w:val="ListBullet"/>
        <w:spacing w:after="70" w:line="276" w:lineRule="auto"/>
      </w:pPr>
      <w:r>
        <w:rPr>
          <w:rFonts w:ascii="Calibri" w:hAnsi="Calibri"/>
          <w:color w:val="1E293B"/>
          <w:sz w:val="21"/>
        </w:rPr>
        <w:t>Naming Standards: Workspaces follow standardized syntax: [Dept]-[Env]-[Project] (e.g., GSS-Prod-ExecutiveAnalytics, GSS-Dev-SalesOps).</w:t>
      </w:r>
    </w:p>
    <w:p>
      <w:pPr>
        <w:pStyle w:val="ListBullet"/>
        <w:spacing w:after="70" w:line="276" w:lineRule="auto"/>
      </w:pPr>
      <w:r>
        <w:rPr>
          <w:rFonts w:ascii="Calibri" w:hAnsi="Calibri"/>
          <w:color w:val="1E293B"/>
          <w:sz w:val="21"/>
        </w:rPr>
        <w:t>Separation of Environments: Developers are barred from directly modifying Production workspaces; changes flow Dev -&gt; Test -&gt; Prod via deployment pipelines.</w:t>
      </w:r>
    </w:p>
    <w:p>
      <w:pPr>
        <w:pStyle w:val="ListBullet"/>
        <w:spacing w:after="70" w:line="276" w:lineRule="auto"/>
      </w:pPr>
      <w:r>
        <w:rPr>
          <w:rFonts w:ascii="Calibri" w:hAnsi="Calibri"/>
          <w:color w:val="1E293B"/>
          <w:sz w:val="21"/>
        </w:rPr>
        <w:t>Least Privilege App Delivery: End users access reports strictly through published Power BI Apps, completely isolating the underlying workspace from accidental alterations.</w:t>
      </w:r>
    </w:p>
    <w:p>
      <w:pPr>
        <w:spacing w:after="80" w:before="280" w:line="276" w:lineRule="auto"/>
        <w:pBdr>
          <w:bottom w:val="single" w:sz="8" w:space="4" w:color="2563EB"/>
        </w:pBdr>
      </w:pPr>
      <w:r>
        <w:rPr>
          <w:rFonts w:ascii="Calibri" w:hAnsi="Calibri"/>
          <w:b/>
          <w:i w:val="0"/>
          <w:color w:val="1A2B4C"/>
          <w:sz w:val="29"/>
        </w:rPr>
        <w:t>5. Operational Telemetry &amp; Monitoring Matrix (Part C)</w:t>
      </w:r>
    </w:p>
    <w:p>
      <w:pPr>
        <w:spacing w:after="100" w:line="276" w:lineRule="auto"/>
      </w:pPr>
      <w:r>
        <w:rPr>
          <w:rFonts w:ascii="Calibri" w:hAnsi="Calibri"/>
          <w:color w:val="1E293B"/>
          <w:sz w:val="21"/>
        </w:rPr>
        <w:t>Proactive monitoring detects infrastructure bottlenecks, data pipeline delays, and user adoption dips before they impact operations. Table 10.3 defines the four mandatory operational pillars: refresh status, usage adoption, query performance, and user activity.</w:t>
      </w:r>
    </w:p>
    <w:tbl>
      <w:tblPr>
        <w:tblW w:type="auto" w:w="0"/>
        <w:jc w:val="center"/>
        <w:tblLook w:firstColumn="1" w:firstRow="1" w:lastColumn="0" w:lastRow="0" w:noHBand="0" w:noVBand="1" w:val="04A0"/>
      </w:tblPr>
      <w:tblGrid>
        <w:gridCol w:w="1872"/>
        <w:gridCol w:w="1872"/>
        <w:gridCol w:w="1872"/>
        <w:gridCol w:w="1872"/>
        <w:gridCol w:w="1872"/>
      </w:tblGrid>
      <w:tr>
        <w:tc>
          <w:tcPr>
            <w:tcW w:type="dxa" w:w="1872"/>
            <w:shd w:fill="1A2B4C"/>
          </w:tcPr>
          <w:p>
            <w:pPr>
              <w:jc w:val="center"/>
            </w:pPr>
            <w:r>
              <w:rPr>
                <w:rFonts w:ascii="Calibri" w:hAnsi="Calibri"/>
                <w:b/>
                <w:color w:val="FFFFFF"/>
                <w:sz w:val="19"/>
              </w:rPr>
              <w:t>Monitoring Pillar</w:t>
            </w:r>
          </w:p>
        </w:tc>
        <w:tc>
          <w:tcPr>
            <w:tcW w:type="dxa" w:w="1872"/>
            <w:shd w:fill="1A2B4C"/>
          </w:tcPr>
          <w:p>
            <w:pPr>
              <w:jc w:val="center"/>
            </w:pPr>
            <w:r>
              <w:rPr>
                <w:rFonts w:ascii="Calibri" w:hAnsi="Calibri"/>
                <w:b/>
                <w:color w:val="FFFFFF"/>
                <w:sz w:val="19"/>
              </w:rPr>
              <w:t>Checked Metric</w:t>
            </w:r>
          </w:p>
        </w:tc>
        <w:tc>
          <w:tcPr>
            <w:tcW w:type="dxa" w:w="1872"/>
            <w:shd w:fill="1A2B4C"/>
          </w:tcPr>
          <w:p>
            <w:pPr>
              <w:jc w:val="center"/>
            </w:pPr>
            <w:r>
              <w:rPr>
                <w:rFonts w:ascii="Calibri" w:hAnsi="Calibri"/>
                <w:b/>
                <w:color w:val="FFFFFF"/>
                <w:sz w:val="19"/>
              </w:rPr>
              <w:t>Cadence</w:t>
            </w:r>
          </w:p>
        </w:tc>
        <w:tc>
          <w:tcPr>
            <w:tcW w:type="dxa" w:w="1872"/>
            <w:shd w:fill="1A2B4C"/>
          </w:tcPr>
          <w:p>
            <w:pPr>
              <w:jc w:val="center"/>
            </w:pPr>
            <w:r>
              <w:rPr>
                <w:rFonts w:ascii="Calibri" w:hAnsi="Calibri"/>
                <w:b/>
                <w:color w:val="FFFFFF"/>
                <w:sz w:val="19"/>
              </w:rPr>
              <w:t>Owner</w:t>
            </w:r>
          </w:p>
        </w:tc>
        <w:tc>
          <w:tcPr>
            <w:tcW w:type="dxa" w:w="1872"/>
            <w:shd w:fill="1A2B4C"/>
          </w:tcPr>
          <w:p>
            <w:pPr>
              <w:jc w:val="center"/>
            </w:pPr>
            <w:r>
              <w:rPr>
                <w:rFonts w:ascii="Calibri" w:hAnsi="Calibri"/>
                <w:b/>
                <w:color w:val="FFFFFF"/>
                <w:sz w:val="19"/>
              </w:rPr>
              <w:t>Remediation Protocol</w:t>
            </w:r>
          </w:p>
        </w:tc>
      </w:tr>
      <w:tr>
        <w:tc>
          <w:tcPr>
            <w:tcW w:type="dxa" w:w="1872"/>
            <w:shd w:fill="F8FAFC"/>
          </w:tcPr>
          <w:p>
            <w:pPr>
              <w:jc w:val="left"/>
            </w:pPr>
            <w:r>
              <w:rPr>
                <w:rFonts w:ascii="Calibri" w:hAnsi="Calibri"/>
                <w:b/>
                <w:color w:val="1E293B"/>
                <w:sz w:val="17"/>
              </w:rPr>
              <w:t>Dataset Refresh Status</w:t>
            </w:r>
          </w:p>
        </w:tc>
        <w:tc>
          <w:tcPr>
            <w:tcW w:type="dxa" w:w="1872"/>
            <w:shd w:fill="F8FAFC"/>
          </w:tcPr>
          <w:p>
            <w:pPr>
              <w:jc w:val="left"/>
            </w:pPr>
            <w:r>
              <w:rPr>
                <w:rFonts w:ascii="Calibri" w:hAnsi="Calibri"/>
                <w:b w:val="0"/>
                <w:color w:val="1E293B"/>
                <w:sz w:val="17"/>
              </w:rPr>
              <w:t>Refresh history in Power BI Service; error codes (gateway timeout, schema mismatch, credentials).</w:t>
            </w:r>
          </w:p>
        </w:tc>
        <w:tc>
          <w:tcPr>
            <w:tcW w:type="dxa" w:w="1872"/>
            <w:shd w:fill="F8FAFC"/>
          </w:tcPr>
          <w:p>
            <w:pPr>
              <w:jc w:val="center"/>
            </w:pPr>
            <w:r>
              <w:rPr>
                <w:rFonts w:ascii="Calibri" w:hAnsi="Calibri"/>
                <w:b w:val="0"/>
                <w:color w:val="1E293B"/>
                <w:sz w:val="17"/>
              </w:rPr>
              <w:t>Daily at 06:30 AM (Post-refresh cycle)</w:t>
            </w:r>
          </w:p>
        </w:tc>
        <w:tc>
          <w:tcPr>
            <w:tcW w:type="dxa" w:w="1872"/>
            <w:shd w:fill="F8FAFC"/>
          </w:tcPr>
          <w:p>
            <w:pPr>
              <w:jc w:val="left"/>
            </w:pPr>
            <w:r>
              <w:rPr>
                <w:rFonts w:ascii="Calibri" w:hAnsi="Calibri"/>
                <w:b w:val="0"/>
                <w:color w:val="1E293B"/>
                <w:sz w:val="17"/>
              </w:rPr>
              <w:t>BI Operations Lead</w:t>
            </w:r>
          </w:p>
        </w:tc>
        <w:tc>
          <w:tcPr>
            <w:tcW w:type="dxa" w:w="1872"/>
            <w:shd w:fill="F8FAFC"/>
          </w:tcPr>
          <w:p>
            <w:pPr>
              <w:jc w:val="left"/>
            </w:pPr>
            <w:r>
              <w:rPr>
                <w:rFonts w:ascii="Calibri" w:hAnsi="Calibri"/>
                <w:b w:val="0"/>
                <w:color w:val="1E293B"/>
                <w:sz w:val="17"/>
              </w:rPr>
              <w:t>Inspect gateway logs; verify Excel source file connectivity; trigger manual retry; alert stakeholders if delayed &gt; 1 hour.</w:t>
            </w:r>
          </w:p>
        </w:tc>
      </w:tr>
      <w:tr>
        <w:tc>
          <w:tcPr>
            <w:tcW w:type="dxa" w:w="1872"/>
            <w:shd w:fill="FFFFFF"/>
          </w:tcPr>
          <w:p>
            <w:pPr>
              <w:jc w:val="left"/>
            </w:pPr>
            <w:r>
              <w:rPr>
                <w:rFonts w:ascii="Calibri" w:hAnsi="Calibri"/>
                <w:b/>
                <w:color w:val="1E293B"/>
                <w:sz w:val="17"/>
              </w:rPr>
              <w:t>Dashboard Usage &amp; Adoption</w:t>
            </w:r>
          </w:p>
        </w:tc>
        <w:tc>
          <w:tcPr>
            <w:tcW w:type="dxa" w:w="1872"/>
            <w:shd w:fill="FFFFFF"/>
          </w:tcPr>
          <w:p>
            <w:pPr>
              <w:jc w:val="left"/>
            </w:pPr>
            <w:r>
              <w:rPr>
                <w:rFonts w:ascii="Calibri" w:hAnsi="Calibri"/>
                <w:b w:val="0"/>
                <w:color w:val="1E293B"/>
                <w:sz w:val="17"/>
              </w:rPr>
              <w:t>Power BI Usage Metrics Report (total views, daily active users, top visual interactions).</w:t>
            </w:r>
          </w:p>
        </w:tc>
        <w:tc>
          <w:tcPr>
            <w:tcW w:type="dxa" w:w="1872"/>
            <w:shd w:fill="FFFFFF"/>
          </w:tcPr>
          <w:p>
            <w:pPr>
              <w:jc w:val="center"/>
            </w:pPr>
            <w:r>
              <w:rPr>
                <w:rFonts w:ascii="Calibri" w:hAnsi="Calibri"/>
                <w:b w:val="0"/>
                <w:color w:val="1E293B"/>
                <w:sz w:val="17"/>
              </w:rPr>
              <w:t>Weekly (Mondays)</w:t>
            </w:r>
          </w:p>
        </w:tc>
        <w:tc>
          <w:tcPr>
            <w:tcW w:type="dxa" w:w="1872"/>
            <w:shd w:fill="FFFFFF"/>
          </w:tcPr>
          <w:p>
            <w:pPr>
              <w:jc w:val="left"/>
            </w:pPr>
            <w:r>
              <w:rPr>
                <w:rFonts w:ascii="Calibri" w:hAnsi="Calibri"/>
                <w:b w:val="0"/>
                <w:color w:val="1E293B"/>
                <w:sz w:val="17"/>
              </w:rPr>
              <w:t>BI Product Manager</w:t>
            </w:r>
          </w:p>
        </w:tc>
        <w:tc>
          <w:tcPr>
            <w:tcW w:type="dxa" w:w="1872"/>
            <w:shd w:fill="FFFFFF"/>
          </w:tcPr>
          <w:p>
            <w:pPr>
              <w:jc w:val="left"/>
            </w:pPr>
            <w:r>
              <w:rPr>
                <w:rFonts w:ascii="Calibri" w:hAnsi="Calibri"/>
                <w:b w:val="0"/>
                <w:color w:val="1E293B"/>
                <w:sz w:val="17"/>
              </w:rPr>
              <w:t>Investigate sudden drops in engagement; interview low-usage regional managers; offer retraining if adoption lags.</w:t>
            </w:r>
          </w:p>
        </w:tc>
      </w:tr>
      <w:tr>
        <w:tc>
          <w:tcPr>
            <w:tcW w:type="dxa" w:w="1872"/>
            <w:shd w:fill="F8FAFC"/>
          </w:tcPr>
          <w:p>
            <w:pPr>
              <w:jc w:val="left"/>
            </w:pPr>
            <w:r>
              <w:rPr>
                <w:rFonts w:ascii="Calibri" w:hAnsi="Calibri"/>
                <w:b/>
                <w:color w:val="1E293B"/>
                <w:sz w:val="17"/>
              </w:rPr>
              <w:t>Report Render Performance</w:t>
            </w:r>
          </w:p>
        </w:tc>
        <w:tc>
          <w:tcPr>
            <w:tcW w:type="dxa" w:w="1872"/>
            <w:shd w:fill="F8FAFC"/>
          </w:tcPr>
          <w:p>
            <w:pPr>
              <w:jc w:val="left"/>
            </w:pPr>
            <w:r>
              <w:rPr>
                <w:rFonts w:ascii="Calibri" w:hAnsi="Calibri"/>
                <w:b w:val="0"/>
                <w:color w:val="1E293B"/>
                <w:sz w:val="17"/>
              </w:rPr>
              <w:t>Visual rendering duration via Power BI Performance Analyzer (target &lt; 3 seconds per visual).</w:t>
            </w:r>
          </w:p>
        </w:tc>
        <w:tc>
          <w:tcPr>
            <w:tcW w:type="dxa" w:w="1872"/>
            <w:shd w:fill="F8FAFC"/>
          </w:tcPr>
          <w:p>
            <w:pPr>
              <w:jc w:val="center"/>
            </w:pPr>
            <w:r>
              <w:rPr>
                <w:rFonts w:ascii="Calibri" w:hAnsi="Calibri"/>
                <w:b w:val="0"/>
                <w:color w:val="1E293B"/>
                <w:sz w:val="17"/>
              </w:rPr>
              <w:t>Bi-Weekly</w:t>
            </w:r>
          </w:p>
        </w:tc>
        <w:tc>
          <w:tcPr>
            <w:tcW w:type="dxa" w:w="1872"/>
            <w:shd w:fill="F8FAFC"/>
          </w:tcPr>
          <w:p>
            <w:pPr>
              <w:jc w:val="left"/>
            </w:pPr>
            <w:r>
              <w:rPr>
                <w:rFonts w:ascii="Calibri" w:hAnsi="Calibri"/>
                <w:b w:val="0"/>
                <w:color w:val="1E293B"/>
                <w:sz w:val="17"/>
              </w:rPr>
              <w:t>Senior BI Developer</w:t>
            </w:r>
          </w:p>
        </w:tc>
        <w:tc>
          <w:tcPr>
            <w:tcW w:type="dxa" w:w="1872"/>
            <w:shd w:fill="F8FAFC"/>
          </w:tcPr>
          <w:p>
            <w:pPr>
              <w:jc w:val="left"/>
            </w:pPr>
            <w:r>
              <w:rPr>
                <w:rFonts w:ascii="Calibri" w:hAnsi="Calibri"/>
                <w:b w:val="0"/>
                <w:color w:val="1E293B"/>
                <w:sz w:val="17"/>
              </w:rPr>
              <w:t>Optimize DAX measures (replace inefficient SUMX/nested iterators); reduce visual clutter; test cache hit rates.</w:t>
            </w:r>
          </w:p>
        </w:tc>
      </w:tr>
      <w:tr>
        <w:tc>
          <w:tcPr>
            <w:tcW w:type="dxa" w:w="1872"/>
            <w:shd w:fill="FFFFFF"/>
          </w:tcPr>
          <w:p>
            <w:pPr>
              <w:jc w:val="left"/>
            </w:pPr>
            <w:r>
              <w:rPr>
                <w:rFonts w:ascii="Calibri" w:hAnsi="Calibri"/>
                <w:b/>
                <w:color w:val="1E293B"/>
                <w:sz w:val="17"/>
              </w:rPr>
              <w:t>User Activity &amp; Audit Logs</w:t>
            </w:r>
          </w:p>
        </w:tc>
        <w:tc>
          <w:tcPr>
            <w:tcW w:type="dxa" w:w="1872"/>
            <w:shd w:fill="FFFFFF"/>
          </w:tcPr>
          <w:p>
            <w:pPr>
              <w:jc w:val="left"/>
            </w:pPr>
            <w:r>
              <w:rPr>
                <w:rFonts w:ascii="Calibri" w:hAnsi="Calibri"/>
                <w:b w:val="0"/>
                <w:color w:val="1E293B"/>
                <w:sz w:val="17"/>
              </w:rPr>
              <w:t>Microsoft 365 / Power BI Unified Audit Log (export activity, external sharing, role updates).</w:t>
            </w:r>
          </w:p>
        </w:tc>
        <w:tc>
          <w:tcPr>
            <w:tcW w:type="dxa" w:w="1872"/>
            <w:shd w:fill="FFFFFF"/>
          </w:tcPr>
          <w:p>
            <w:pPr>
              <w:jc w:val="center"/>
            </w:pPr>
            <w:r>
              <w:rPr>
                <w:rFonts w:ascii="Calibri" w:hAnsi="Calibri"/>
                <w:b w:val="0"/>
                <w:color w:val="1E293B"/>
                <w:sz w:val="17"/>
              </w:rPr>
              <w:t>Daily / Automated Alerts</w:t>
            </w:r>
          </w:p>
        </w:tc>
        <w:tc>
          <w:tcPr>
            <w:tcW w:type="dxa" w:w="1872"/>
            <w:shd w:fill="FFFFFF"/>
          </w:tcPr>
          <w:p>
            <w:pPr>
              <w:jc w:val="left"/>
            </w:pPr>
            <w:r>
              <w:rPr>
                <w:rFonts w:ascii="Calibri" w:hAnsi="Calibri"/>
                <w:b w:val="0"/>
                <w:color w:val="1E293B"/>
                <w:sz w:val="17"/>
              </w:rPr>
              <w:t>BI Security Administrator</w:t>
            </w:r>
          </w:p>
        </w:tc>
        <w:tc>
          <w:tcPr>
            <w:tcW w:type="dxa" w:w="1872"/>
            <w:shd w:fill="FFFFFF"/>
          </w:tcPr>
          <w:p>
            <w:pPr>
              <w:jc w:val="left"/>
            </w:pPr>
            <w:r>
              <w:rPr>
                <w:rFonts w:ascii="Calibri" w:hAnsi="Calibri"/>
                <w:b w:val="0"/>
                <w:color w:val="1E293B"/>
                <w:sz w:val="17"/>
              </w:rPr>
              <w:t>Investigate unauthorized bulk export attempts; revoke anomalous sharing permissions; flag data exfiltration risks.</w:t>
            </w:r>
          </w:p>
        </w:tc>
      </w:tr>
    </w:tbl>
    <w:p>
      <w:pPr>
        <w:spacing w:after="80"/>
      </w:pPr>
    </w:p>
    <w:p>
      <w:pPr>
        <w:spacing w:after="80" w:before="280" w:line="276" w:lineRule="auto"/>
        <w:pBdr>
          <w:bottom w:val="single" w:sz="8" w:space="4" w:color="2563EB"/>
        </w:pBdr>
      </w:pPr>
      <w:r>
        <w:rPr>
          <w:rFonts w:ascii="Calibri" w:hAnsi="Calibri"/>
          <w:b/>
          <w:i w:val="0"/>
          <w:color w:val="1A2B4C"/>
          <w:sz w:val="29"/>
        </w:rPr>
        <w:t>6. Backup Schedules &amp; Restore Procedures (Part D)</w:t>
      </w:r>
    </w:p>
    <w:p>
      <w:pPr>
        <w:spacing w:after="100" w:line="276" w:lineRule="auto"/>
      </w:pPr>
      <w:r>
        <w:rPr>
          <w:rFonts w:ascii="Calibri" w:hAnsi="Calibri"/>
          <w:color w:val="1E293B"/>
          <w:sz w:val="21"/>
        </w:rPr>
        <w:t>A resilient BI platform assumes that hardware, human, or network failures will occur. Table 10.4 outlines the multi-tiered backup schedule protecting raw Excel files, report definitions (.pbix), and workspace configurations.</w:t>
      </w:r>
    </w:p>
    <w:tbl>
      <w:tblPr>
        <w:tblW w:type="auto" w:w="0"/>
        <w:jc w:val="center"/>
        <w:tblLook w:firstColumn="1" w:firstRow="1" w:lastColumn="0" w:lastRow="0" w:noHBand="0" w:noVBand="1" w:val="04A0"/>
      </w:tblPr>
      <w:tblGrid>
        <w:gridCol w:w="1872"/>
        <w:gridCol w:w="1872"/>
        <w:gridCol w:w="1872"/>
        <w:gridCol w:w="1872"/>
        <w:gridCol w:w="1872"/>
      </w:tblGrid>
      <w:tr>
        <w:tc>
          <w:tcPr>
            <w:tcW w:type="dxa" w:w="1872"/>
            <w:shd w:fill="1A2B4C"/>
          </w:tcPr>
          <w:p>
            <w:pPr>
              <w:jc w:val="center"/>
            </w:pPr>
            <w:r>
              <w:rPr>
                <w:rFonts w:ascii="Calibri" w:hAnsi="Calibri"/>
                <w:b/>
                <w:color w:val="FFFFFF"/>
                <w:sz w:val="19"/>
              </w:rPr>
              <w:t>BI Component</w:t>
            </w:r>
          </w:p>
        </w:tc>
        <w:tc>
          <w:tcPr>
            <w:tcW w:type="dxa" w:w="1872"/>
            <w:shd w:fill="1A2B4C"/>
          </w:tcPr>
          <w:p>
            <w:pPr>
              <w:jc w:val="center"/>
            </w:pPr>
            <w:r>
              <w:rPr>
                <w:rFonts w:ascii="Calibri" w:hAnsi="Calibri"/>
                <w:b/>
                <w:color w:val="FFFFFF"/>
                <w:sz w:val="19"/>
              </w:rPr>
              <w:t>Backup Frequency</w:t>
            </w:r>
          </w:p>
        </w:tc>
        <w:tc>
          <w:tcPr>
            <w:tcW w:type="dxa" w:w="1872"/>
            <w:shd w:fill="1A2B4C"/>
          </w:tcPr>
          <w:p>
            <w:pPr>
              <w:jc w:val="center"/>
            </w:pPr>
            <w:r>
              <w:rPr>
                <w:rFonts w:ascii="Calibri" w:hAnsi="Calibri"/>
                <w:b/>
                <w:color w:val="FFFFFF"/>
                <w:sz w:val="19"/>
              </w:rPr>
              <w:t>Storage Medium &amp; Location</w:t>
            </w:r>
          </w:p>
        </w:tc>
        <w:tc>
          <w:tcPr>
            <w:tcW w:type="dxa" w:w="1872"/>
            <w:shd w:fill="1A2B4C"/>
          </w:tcPr>
          <w:p>
            <w:pPr>
              <w:jc w:val="center"/>
            </w:pPr>
            <w:r>
              <w:rPr>
                <w:rFonts w:ascii="Calibri" w:hAnsi="Calibri"/>
                <w:b/>
                <w:color w:val="FFFFFF"/>
                <w:sz w:val="19"/>
              </w:rPr>
              <w:t>Lead Owner</w:t>
            </w:r>
          </w:p>
        </w:tc>
        <w:tc>
          <w:tcPr>
            <w:tcW w:type="dxa" w:w="1872"/>
            <w:shd w:fill="1A2B4C"/>
          </w:tcPr>
          <w:p>
            <w:pPr>
              <w:jc w:val="center"/>
            </w:pPr>
            <w:r>
              <w:rPr>
                <w:rFonts w:ascii="Calibri" w:hAnsi="Calibri"/>
                <w:b/>
                <w:color w:val="FFFFFF"/>
                <w:sz w:val="19"/>
              </w:rPr>
              <w:t>Verification Procedure</w:t>
            </w:r>
          </w:p>
        </w:tc>
      </w:tr>
      <w:tr>
        <w:tc>
          <w:tcPr>
            <w:tcW w:type="dxa" w:w="1872"/>
            <w:shd w:fill="F8FAFC"/>
          </w:tcPr>
          <w:p>
            <w:pPr>
              <w:jc w:val="left"/>
            </w:pPr>
            <w:r>
              <w:rPr>
                <w:rFonts w:ascii="Calibri" w:hAnsi="Calibri"/>
                <w:b/>
                <w:color w:val="1E293B"/>
                <w:sz w:val="17"/>
              </w:rPr>
              <w:t>Underlying Source Data (Global Superstore.xlsx)</w:t>
            </w:r>
          </w:p>
        </w:tc>
        <w:tc>
          <w:tcPr>
            <w:tcW w:type="dxa" w:w="1872"/>
            <w:shd w:fill="F8FAFC"/>
          </w:tcPr>
          <w:p>
            <w:pPr>
              <w:jc w:val="center"/>
            </w:pPr>
            <w:r>
              <w:rPr>
                <w:rFonts w:ascii="Calibri" w:hAnsi="Calibri"/>
                <w:b w:val="0"/>
                <w:color w:val="1E293B"/>
                <w:sz w:val="17"/>
              </w:rPr>
              <w:t>Daily (Automated 01:00 AM)</w:t>
            </w:r>
          </w:p>
        </w:tc>
        <w:tc>
          <w:tcPr>
            <w:tcW w:type="dxa" w:w="1872"/>
            <w:shd w:fill="F8FAFC"/>
          </w:tcPr>
          <w:p>
            <w:pPr>
              <w:jc w:val="left"/>
            </w:pPr>
            <w:r>
              <w:rPr>
                <w:rFonts w:ascii="Calibri" w:hAnsi="Calibri"/>
                <w:b w:val="0"/>
                <w:color w:val="1E293B"/>
                <w:sz w:val="17"/>
              </w:rPr>
              <w:t>Encrypted Azure Blob Storage / SharePoint Version History</w:t>
            </w:r>
          </w:p>
        </w:tc>
        <w:tc>
          <w:tcPr>
            <w:tcW w:type="dxa" w:w="1872"/>
            <w:shd w:fill="F8FAFC"/>
          </w:tcPr>
          <w:p>
            <w:pPr>
              <w:jc w:val="left"/>
            </w:pPr>
            <w:r>
              <w:rPr>
                <w:rFonts w:ascii="Calibri" w:hAnsi="Calibri"/>
                <w:b w:val="0"/>
                <w:color w:val="1E293B"/>
                <w:sz w:val="17"/>
              </w:rPr>
              <w:t>Data Platform Engineer</w:t>
            </w:r>
          </w:p>
        </w:tc>
        <w:tc>
          <w:tcPr>
            <w:tcW w:type="dxa" w:w="1872"/>
            <w:shd w:fill="F8FAFC"/>
          </w:tcPr>
          <w:p>
            <w:pPr>
              <w:jc w:val="left"/>
            </w:pPr>
            <w:r>
              <w:rPr>
                <w:rFonts w:ascii="Calibri" w:hAnsi="Calibri"/>
                <w:b w:val="0"/>
                <w:color w:val="1E293B"/>
                <w:sz w:val="17"/>
              </w:rPr>
              <w:t>Automated file hash verification and file size parity check.</w:t>
            </w:r>
          </w:p>
        </w:tc>
      </w:tr>
      <w:tr>
        <w:tc>
          <w:tcPr>
            <w:tcW w:type="dxa" w:w="1872"/>
            <w:shd w:fill="FFFFFF"/>
          </w:tcPr>
          <w:p>
            <w:pPr>
              <w:jc w:val="left"/>
            </w:pPr>
            <w:r>
              <w:rPr>
                <w:rFonts w:ascii="Calibri" w:hAnsi="Calibri"/>
                <w:b/>
                <w:color w:val="1E293B"/>
                <w:sz w:val="17"/>
              </w:rPr>
              <w:t>Power BI Project Files (.pbix)</w:t>
            </w:r>
          </w:p>
        </w:tc>
        <w:tc>
          <w:tcPr>
            <w:tcW w:type="dxa" w:w="1872"/>
            <w:shd w:fill="FFFFFF"/>
          </w:tcPr>
          <w:p>
            <w:pPr>
              <w:jc w:val="center"/>
            </w:pPr>
            <w:r>
              <w:rPr>
                <w:rFonts w:ascii="Calibri" w:hAnsi="Calibri"/>
                <w:b w:val="0"/>
                <w:color w:val="1E293B"/>
                <w:sz w:val="17"/>
              </w:rPr>
              <w:t>Weekly (Every Friday at 18:00)</w:t>
            </w:r>
          </w:p>
        </w:tc>
        <w:tc>
          <w:tcPr>
            <w:tcW w:type="dxa" w:w="1872"/>
            <w:shd w:fill="FFFFFF"/>
          </w:tcPr>
          <w:p>
            <w:pPr>
              <w:jc w:val="left"/>
            </w:pPr>
            <w:r>
              <w:rPr>
                <w:rFonts w:ascii="Calibri" w:hAnsi="Calibri"/>
                <w:b w:val="0"/>
                <w:color w:val="1E293B"/>
                <w:sz w:val="17"/>
              </w:rPr>
              <w:t>Corporate GitHub Enterprise / Azure DevOps Git Repository</w:t>
            </w:r>
          </w:p>
        </w:tc>
        <w:tc>
          <w:tcPr>
            <w:tcW w:type="dxa" w:w="1872"/>
            <w:shd w:fill="FFFFFF"/>
          </w:tcPr>
          <w:p>
            <w:pPr>
              <w:jc w:val="left"/>
            </w:pPr>
            <w:r>
              <w:rPr>
                <w:rFonts w:ascii="Calibri" w:hAnsi="Calibri"/>
                <w:b w:val="0"/>
                <w:color w:val="1E293B"/>
                <w:sz w:val="17"/>
              </w:rPr>
              <w:t>Senior BI Developer</w:t>
            </w:r>
          </w:p>
        </w:tc>
        <w:tc>
          <w:tcPr>
            <w:tcW w:type="dxa" w:w="1872"/>
            <w:shd w:fill="FFFFFF"/>
          </w:tcPr>
          <w:p>
            <w:pPr>
              <w:jc w:val="left"/>
            </w:pPr>
            <w:r>
              <w:rPr>
                <w:rFonts w:ascii="Calibri" w:hAnsi="Calibri"/>
                <w:b w:val="0"/>
                <w:color w:val="1E293B"/>
                <w:sz w:val="17"/>
              </w:rPr>
              <w:t>Git commit tag verification; clone repository and test open in Power BI Desktop.</w:t>
            </w:r>
          </w:p>
        </w:tc>
      </w:tr>
      <w:tr>
        <w:tc>
          <w:tcPr>
            <w:tcW w:type="dxa" w:w="1872"/>
            <w:shd w:fill="F8FAFC"/>
          </w:tcPr>
          <w:p>
            <w:pPr>
              <w:jc w:val="left"/>
            </w:pPr>
            <w:r>
              <w:rPr>
                <w:rFonts w:ascii="Calibri" w:hAnsi="Calibri"/>
                <w:b/>
                <w:color w:val="1E293B"/>
                <w:sz w:val="17"/>
              </w:rPr>
              <w:t>Production Workspace Definitions &amp; Metadata</w:t>
            </w:r>
          </w:p>
        </w:tc>
        <w:tc>
          <w:tcPr>
            <w:tcW w:type="dxa" w:w="1872"/>
            <w:shd w:fill="F8FAFC"/>
          </w:tcPr>
          <w:p>
            <w:pPr>
              <w:jc w:val="center"/>
            </w:pPr>
            <w:r>
              <w:rPr>
                <w:rFonts w:ascii="Calibri" w:hAnsi="Calibri"/>
                <w:b w:val="0"/>
                <w:color w:val="1E293B"/>
                <w:sz w:val="17"/>
              </w:rPr>
              <w:t>Monthly (1st Calendar Day)</w:t>
            </w:r>
          </w:p>
        </w:tc>
        <w:tc>
          <w:tcPr>
            <w:tcW w:type="dxa" w:w="1872"/>
            <w:shd w:fill="F8FAFC"/>
          </w:tcPr>
          <w:p>
            <w:pPr>
              <w:jc w:val="left"/>
            </w:pPr>
            <w:r>
              <w:rPr>
                <w:rFonts w:ascii="Calibri" w:hAnsi="Calibri"/>
                <w:b w:val="0"/>
                <w:color w:val="1E293B"/>
                <w:sz w:val="17"/>
              </w:rPr>
              <w:t>Cold Cloud Storage Archive (Geo-Redundant)</w:t>
            </w:r>
          </w:p>
        </w:tc>
        <w:tc>
          <w:tcPr>
            <w:tcW w:type="dxa" w:w="1872"/>
            <w:shd w:fill="F8FAFC"/>
          </w:tcPr>
          <w:p>
            <w:pPr>
              <w:jc w:val="left"/>
            </w:pPr>
            <w:r>
              <w:rPr>
                <w:rFonts w:ascii="Calibri" w:hAnsi="Calibri"/>
                <w:b w:val="0"/>
                <w:color w:val="1E293B"/>
                <w:sz w:val="17"/>
              </w:rPr>
              <w:t>Lead BI Architect</w:t>
            </w:r>
          </w:p>
        </w:tc>
        <w:tc>
          <w:tcPr>
            <w:tcW w:type="dxa" w:w="1872"/>
            <w:shd w:fill="F8FAFC"/>
          </w:tcPr>
          <w:p>
            <w:pPr>
              <w:jc w:val="left"/>
            </w:pPr>
            <w:r>
              <w:rPr>
                <w:rFonts w:ascii="Calibri" w:hAnsi="Calibri"/>
                <w:b w:val="0"/>
                <w:color w:val="1E293B"/>
                <w:sz w:val="17"/>
              </w:rPr>
              <w:t>Quarterly test restore into an isolated 'Sandbox-Restore' test workspace.</w:t>
            </w:r>
          </w:p>
        </w:tc>
      </w:tr>
      <w:tr>
        <w:tc>
          <w:tcPr>
            <w:tcW w:type="dxa" w:w="1872"/>
            <w:shd w:fill="FFFFFF"/>
          </w:tcPr>
          <w:p>
            <w:pPr>
              <w:jc w:val="left"/>
            </w:pPr>
            <w:r>
              <w:rPr>
                <w:rFonts w:ascii="Calibri" w:hAnsi="Calibri"/>
                <w:b/>
                <w:color w:val="1E293B"/>
                <w:sz w:val="17"/>
              </w:rPr>
              <w:t>Deployment Documentation &amp; Security Matrices</w:t>
            </w:r>
          </w:p>
        </w:tc>
        <w:tc>
          <w:tcPr>
            <w:tcW w:type="dxa" w:w="1872"/>
            <w:shd w:fill="FFFFFF"/>
          </w:tcPr>
          <w:p>
            <w:pPr>
              <w:jc w:val="center"/>
            </w:pPr>
            <w:r>
              <w:rPr>
                <w:rFonts w:ascii="Calibri" w:hAnsi="Calibri"/>
                <w:b w:val="0"/>
                <w:color w:val="1E293B"/>
                <w:sz w:val="17"/>
              </w:rPr>
              <w:t>On Every Configuration Release</w:t>
            </w:r>
          </w:p>
        </w:tc>
        <w:tc>
          <w:tcPr>
            <w:tcW w:type="dxa" w:w="1872"/>
            <w:shd w:fill="FFFFFF"/>
          </w:tcPr>
          <w:p>
            <w:pPr>
              <w:jc w:val="left"/>
            </w:pPr>
            <w:r>
              <w:rPr>
                <w:rFonts w:ascii="Calibri" w:hAnsi="Calibri"/>
                <w:b w:val="0"/>
                <w:color w:val="1E293B"/>
                <w:sz w:val="17"/>
              </w:rPr>
              <w:t>Enterprise Confluence / SharePoint Documentation Vault</w:t>
            </w:r>
          </w:p>
        </w:tc>
        <w:tc>
          <w:tcPr>
            <w:tcW w:type="dxa" w:w="1872"/>
            <w:shd w:fill="FFFFFF"/>
          </w:tcPr>
          <w:p>
            <w:pPr>
              <w:jc w:val="left"/>
            </w:pPr>
            <w:r>
              <w:rPr>
                <w:rFonts w:ascii="Calibri" w:hAnsi="Calibri"/>
                <w:b w:val="0"/>
                <w:color w:val="1E293B"/>
                <w:sz w:val="17"/>
              </w:rPr>
              <w:t>BI Operations Lead</w:t>
            </w:r>
          </w:p>
        </w:tc>
        <w:tc>
          <w:tcPr>
            <w:tcW w:type="dxa" w:w="1872"/>
            <w:shd w:fill="FFFFFF"/>
          </w:tcPr>
          <w:p>
            <w:pPr>
              <w:jc w:val="left"/>
            </w:pPr>
            <w:r>
              <w:rPr>
                <w:rFonts w:ascii="Calibri" w:hAnsi="Calibri"/>
                <w:b w:val="0"/>
                <w:color w:val="1E293B"/>
                <w:sz w:val="17"/>
              </w:rPr>
              <w:t>Peer review sign-off and approval audit log.</w:t>
            </w:r>
          </w:p>
        </w:tc>
      </w:tr>
    </w:tbl>
    <w:p>
      <w:pPr>
        <w:spacing w:after="80"/>
      </w:pPr>
    </w:p>
    <w:p>
      <w:pPr>
        <w:spacing w:after="60" w:before="160" w:line="276" w:lineRule="auto"/>
      </w:pPr>
      <w:r>
        <w:rPr>
          <w:rFonts w:ascii="Calibri" w:hAnsi="Calibri"/>
          <w:b/>
          <w:i w:val="0"/>
          <w:color w:val="1A2B4C"/>
          <w:sz w:val="24"/>
        </w:rPr>
        <w:t>Standardized 5-Step Asset Restore Procedure</w:t>
      </w:r>
    </w:p>
    <w:p>
      <w:pPr>
        <w:pStyle w:val="ListBullet"/>
        <w:spacing w:after="70" w:line="276" w:lineRule="auto"/>
      </w:pPr>
      <w:r>
        <w:rPr>
          <w:rFonts w:ascii="Calibri" w:hAnsi="Calibri"/>
          <w:color w:val="1E293B"/>
          <w:sz w:val="21"/>
        </w:rPr>
        <w:t>Step 1 (Incident Identification): Identify damaged or deleted asset via Power BI Service activity log or user alert.</w:t>
      </w:r>
    </w:p>
    <w:p>
      <w:pPr>
        <w:pStyle w:val="ListBullet"/>
        <w:spacing w:after="70" w:line="276" w:lineRule="auto"/>
      </w:pPr>
      <w:r>
        <w:rPr>
          <w:rFonts w:ascii="Calibri" w:hAnsi="Calibri"/>
          <w:color w:val="1E293B"/>
          <w:sz w:val="21"/>
        </w:rPr>
        <w:t>Step 2 (Backup Retrieval): Pull the latest verified release tag from corporate Git / Azure DevOps repository.</w:t>
      </w:r>
    </w:p>
    <w:p>
      <w:pPr>
        <w:pStyle w:val="ListBullet"/>
        <w:spacing w:after="70" w:line="276" w:lineRule="auto"/>
      </w:pPr>
      <w:r>
        <w:rPr>
          <w:rFonts w:ascii="Calibri" w:hAnsi="Calibri"/>
          <w:color w:val="1E293B"/>
          <w:sz w:val="21"/>
        </w:rPr>
        <w:t>Step 3 (Republishing to Service): Re-upload the PBIX file to the target production workspace using Power BI Desktop or REST API.</w:t>
      </w:r>
    </w:p>
    <w:p>
      <w:pPr>
        <w:pStyle w:val="ListBullet"/>
        <w:spacing w:after="70" w:line="276" w:lineRule="auto"/>
      </w:pPr>
      <w:r>
        <w:rPr>
          <w:rFonts w:ascii="Calibri" w:hAnsi="Calibri"/>
          <w:color w:val="1E293B"/>
          <w:sz w:val="21"/>
        </w:rPr>
        <w:t>Step 4 (Validation &amp; Rebinding): Verify dataset credentials, refresh gateway connections, and repin dashboard tiles.</w:t>
      </w:r>
    </w:p>
    <w:p>
      <w:pPr>
        <w:pStyle w:val="ListBullet"/>
        <w:spacing w:after="70" w:line="276" w:lineRule="auto"/>
      </w:pPr>
      <w:r>
        <w:rPr>
          <w:rFonts w:ascii="Calibri" w:hAnsi="Calibri"/>
          <w:color w:val="1E293B"/>
          <w:sz w:val="21"/>
        </w:rPr>
        <w:t>Step 5 (Documentation &amp; Close): Log incident ticket resolution, post-restore verification metrics, and conduct root-cause review.</w:t>
      </w:r>
    </w:p>
    <w:p>
      <w:pPr>
        <w:spacing w:after="80" w:before="280" w:line="276" w:lineRule="auto"/>
        <w:pBdr>
          <w:bottom w:val="single" w:sz="8" w:space="4" w:color="2563EB"/>
        </w:pBdr>
      </w:pPr>
      <w:r>
        <w:rPr>
          <w:rFonts w:ascii="Calibri" w:hAnsi="Calibri"/>
          <w:b/>
          <w:i w:val="0"/>
          <w:color w:val="1A2B4C"/>
          <w:sz w:val="29"/>
        </w:rPr>
        <w:t>7. Disaster Recovery Scenario: Critical Dashboard Deletion (Part E)</w:t>
      </w:r>
    </w:p>
    <w:p>
      <w:pPr>
        <w:spacing w:after="100" w:line="276" w:lineRule="auto"/>
      </w:pPr>
      <w:r>
        <w:rPr>
          <w:rFonts w:ascii="Calibri" w:hAnsi="Calibri"/>
          <w:color w:val="1E293B"/>
          <w:sz w:val="21"/>
        </w:rPr>
        <w:t>To validate emergency readiness, this study simulates the required lab scenario: 'A critical executive dashboard is accidentally deleted 24 hours prior to a global management board meeting.' Table 10.5 details the standard operating procedure to restore the environment within a 60-minute Recovery Time Objective (RTO).</w:t>
      </w:r>
    </w:p>
    <w:tbl>
      <w:tblPr>
        <w:tblW w:type="auto" w:w="0"/>
        <w:jc w:val="center"/>
        <w:tblLook w:firstColumn="1" w:firstRow="1" w:lastColumn="0" w:lastRow="0" w:noHBand="0" w:noVBand="1" w:val="04A0"/>
      </w:tblPr>
      <w:tblGrid>
        <w:gridCol w:w="1872"/>
        <w:gridCol w:w="1872"/>
        <w:gridCol w:w="1872"/>
        <w:gridCol w:w="1872"/>
        <w:gridCol w:w="1872"/>
      </w:tblGrid>
      <w:tr>
        <w:tc>
          <w:tcPr>
            <w:tcW w:type="dxa" w:w="1872"/>
            <w:shd w:fill="1A2B4C"/>
          </w:tcPr>
          <w:p>
            <w:pPr>
              <w:jc w:val="center"/>
            </w:pPr>
            <w:r>
              <w:rPr>
                <w:rFonts w:ascii="Calibri" w:hAnsi="Calibri"/>
                <w:b/>
                <w:color w:val="FFFFFF"/>
                <w:sz w:val="19"/>
              </w:rPr>
              <w:t>Recovery Phase</w:t>
            </w:r>
          </w:p>
        </w:tc>
        <w:tc>
          <w:tcPr>
            <w:tcW w:type="dxa" w:w="1872"/>
            <w:shd w:fill="1A2B4C"/>
          </w:tcPr>
          <w:p>
            <w:pPr>
              <w:jc w:val="center"/>
            </w:pPr>
            <w:r>
              <w:rPr>
                <w:rFonts w:ascii="Calibri" w:hAnsi="Calibri"/>
                <w:b/>
                <w:color w:val="FFFFFF"/>
                <w:sz w:val="19"/>
              </w:rPr>
              <w:t>Standard Operating Procedure (SOP)</w:t>
            </w:r>
          </w:p>
        </w:tc>
        <w:tc>
          <w:tcPr>
            <w:tcW w:type="dxa" w:w="1872"/>
            <w:shd w:fill="1A2B4C"/>
          </w:tcPr>
          <w:p>
            <w:pPr>
              <w:jc w:val="center"/>
            </w:pPr>
            <w:r>
              <w:rPr>
                <w:rFonts w:ascii="Calibri" w:hAnsi="Calibri"/>
                <w:b/>
                <w:color w:val="FFFFFF"/>
                <w:sz w:val="19"/>
              </w:rPr>
              <w:t>Owner</w:t>
            </w:r>
          </w:p>
        </w:tc>
        <w:tc>
          <w:tcPr>
            <w:tcW w:type="dxa" w:w="1872"/>
            <w:shd w:fill="1A2B4C"/>
          </w:tcPr>
          <w:p>
            <w:pPr>
              <w:jc w:val="center"/>
            </w:pPr>
            <w:r>
              <w:rPr>
                <w:rFonts w:ascii="Calibri" w:hAnsi="Calibri"/>
                <w:b/>
                <w:color w:val="FFFFFF"/>
                <w:sz w:val="19"/>
              </w:rPr>
              <w:t>Target RTO</w:t>
            </w:r>
          </w:p>
        </w:tc>
        <w:tc>
          <w:tcPr>
            <w:tcW w:type="dxa" w:w="1872"/>
            <w:shd w:fill="1A2B4C"/>
          </w:tcPr>
          <w:p>
            <w:pPr>
              <w:jc w:val="center"/>
            </w:pPr>
            <w:r>
              <w:rPr>
                <w:rFonts w:ascii="Calibri" w:hAnsi="Calibri"/>
                <w:b/>
                <w:color w:val="FFFFFF"/>
                <w:sz w:val="19"/>
              </w:rPr>
              <w:t>Success Criteria</w:t>
            </w:r>
          </w:p>
        </w:tc>
      </w:tr>
      <w:tr>
        <w:tc>
          <w:tcPr>
            <w:tcW w:type="dxa" w:w="1872"/>
            <w:shd w:fill="F8FAFC"/>
          </w:tcPr>
          <w:p>
            <w:pPr>
              <w:jc w:val="left"/>
            </w:pPr>
            <w:r>
              <w:rPr>
                <w:rFonts w:ascii="Calibri" w:hAnsi="Calibri"/>
                <w:b/>
                <w:color w:val="1E293B"/>
                <w:sz w:val="17"/>
              </w:rPr>
              <w:t>1. Triage &amp; Incident Declaration</w:t>
            </w:r>
          </w:p>
        </w:tc>
        <w:tc>
          <w:tcPr>
            <w:tcW w:type="dxa" w:w="1872"/>
            <w:shd w:fill="F8FAFC"/>
          </w:tcPr>
          <w:p>
            <w:pPr>
              <w:jc w:val="left"/>
            </w:pPr>
            <w:r>
              <w:rPr>
                <w:rFonts w:ascii="Calibri" w:hAnsi="Calibri"/>
                <w:b w:val="0"/>
                <w:color w:val="1E293B"/>
                <w:sz w:val="17"/>
              </w:rPr>
              <w:t>Confirm dashboard deletion; declare Severity-1 incident; notify Executive Sponsors and Dashboard Owner.</w:t>
            </w:r>
          </w:p>
        </w:tc>
        <w:tc>
          <w:tcPr>
            <w:tcW w:type="dxa" w:w="1872"/>
            <w:shd w:fill="F8FAFC"/>
          </w:tcPr>
          <w:p>
            <w:pPr>
              <w:jc w:val="left"/>
            </w:pPr>
            <w:r>
              <w:rPr>
                <w:rFonts w:ascii="Calibri" w:hAnsi="Calibri"/>
                <w:b w:val="0"/>
                <w:color w:val="1E293B"/>
                <w:sz w:val="17"/>
              </w:rPr>
              <w:t>BI Incident Manager</w:t>
            </w:r>
          </w:p>
        </w:tc>
        <w:tc>
          <w:tcPr>
            <w:tcW w:type="dxa" w:w="1872"/>
            <w:shd w:fill="F8FAFC"/>
          </w:tcPr>
          <w:p>
            <w:pPr>
              <w:jc w:val="center"/>
            </w:pPr>
            <w:r>
              <w:rPr>
                <w:rFonts w:ascii="Calibri" w:hAnsi="Calibri"/>
                <w:b w:val="0"/>
                <w:color w:val="1E293B"/>
                <w:sz w:val="17"/>
              </w:rPr>
              <w:t>Within 15 Minutes</w:t>
            </w:r>
          </w:p>
        </w:tc>
        <w:tc>
          <w:tcPr>
            <w:tcW w:type="dxa" w:w="1872"/>
            <w:shd w:fill="F8FAFC"/>
          </w:tcPr>
          <w:p>
            <w:pPr>
              <w:jc w:val="left"/>
            </w:pPr>
            <w:r>
              <w:rPr>
                <w:rFonts w:ascii="Calibri" w:hAnsi="Calibri"/>
                <w:b w:val="0"/>
                <w:color w:val="1E293B"/>
                <w:sz w:val="17"/>
              </w:rPr>
              <w:t>Incident ticket logged, executive alert broadcasted.</w:t>
            </w:r>
          </w:p>
        </w:tc>
      </w:tr>
      <w:tr>
        <w:tc>
          <w:tcPr>
            <w:tcW w:type="dxa" w:w="1872"/>
            <w:shd w:fill="FFFFFF"/>
          </w:tcPr>
          <w:p>
            <w:pPr>
              <w:jc w:val="left"/>
            </w:pPr>
            <w:r>
              <w:rPr>
                <w:rFonts w:ascii="Calibri" w:hAnsi="Calibri"/>
                <w:b/>
                <w:color w:val="1E293B"/>
                <w:sz w:val="17"/>
              </w:rPr>
              <w:t>2. Backup Retrieval</w:t>
            </w:r>
          </w:p>
        </w:tc>
        <w:tc>
          <w:tcPr>
            <w:tcW w:type="dxa" w:w="1872"/>
            <w:shd w:fill="FFFFFF"/>
          </w:tcPr>
          <w:p>
            <w:pPr>
              <w:jc w:val="left"/>
            </w:pPr>
            <w:r>
              <w:rPr>
                <w:rFonts w:ascii="Calibri" w:hAnsi="Calibri"/>
                <w:b w:val="0"/>
                <w:color w:val="1E293B"/>
                <w:sz w:val="17"/>
              </w:rPr>
              <w:t>Access version-controlled Git repository / OneDrive backup vault; retrieve latest verified .pbix file.</w:t>
            </w:r>
          </w:p>
        </w:tc>
        <w:tc>
          <w:tcPr>
            <w:tcW w:type="dxa" w:w="1872"/>
            <w:shd w:fill="FFFFFF"/>
          </w:tcPr>
          <w:p>
            <w:pPr>
              <w:jc w:val="left"/>
            </w:pPr>
            <w:r>
              <w:rPr>
                <w:rFonts w:ascii="Calibri" w:hAnsi="Calibri"/>
                <w:b w:val="0"/>
                <w:color w:val="1E293B"/>
                <w:sz w:val="17"/>
              </w:rPr>
              <w:t>Senior BI Developer</w:t>
            </w:r>
          </w:p>
        </w:tc>
        <w:tc>
          <w:tcPr>
            <w:tcW w:type="dxa" w:w="1872"/>
            <w:shd w:fill="FFFFFF"/>
          </w:tcPr>
          <w:p>
            <w:pPr>
              <w:jc w:val="center"/>
            </w:pPr>
            <w:r>
              <w:rPr>
                <w:rFonts w:ascii="Calibri" w:hAnsi="Calibri"/>
                <w:b w:val="0"/>
                <w:color w:val="1E293B"/>
                <w:sz w:val="17"/>
              </w:rPr>
              <w:t>Within 30 Minutes</w:t>
            </w:r>
          </w:p>
        </w:tc>
        <w:tc>
          <w:tcPr>
            <w:tcW w:type="dxa" w:w="1872"/>
            <w:shd w:fill="FFFFFF"/>
          </w:tcPr>
          <w:p>
            <w:pPr>
              <w:jc w:val="left"/>
            </w:pPr>
            <w:r>
              <w:rPr>
                <w:rFonts w:ascii="Calibri" w:hAnsi="Calibri"/>
                <w:b w:val="0"/>
                <w:color w:val="1E293B"/>
                <w:sz w:val="17"/>
              </w:rPr>
              <w:t>File hash matches latest tested production release.</w:t>
            </w:r>
          </w:p>
        </w:tc>
      </w:tr>
      <w:tr>
        <w:tc>
          <w:tcPr>
            <w:tcW w:type="dxa" w:w="1872"/>
            <w:shd w:fill="F8FAFC"/>
          </w:tcPr>
          <w:p>
            <w:pPr>
              <w:jc w:val="left"/>
            </w:pPr>
            <w:r>
              <w:rPr>
                <w:rFonts w:ascii="Calibri" w:hAnsi="Calibri"/>
                <w:b/>
                <w:color w:val="1E293B"/>
                <w:sz w:val="17"/>
              </w:rPr>
              <w:t>3. Workspace Redeployment</w:t>
            </w:r>
          </w:p>
        </w:tc>
        <w:tc>
          <w:tcPr>
            <w:tcW w:type="dxa" w:w="1872"/>
            <w:shd w:fill="F8FAFC"/>
          </w:tcPr>
          <w:p>
            <w:pPr>
              <w:jc w:val="left"/>
            </w:pPr>
            <w:r>
              <w:rPr>
                <w:rFonts w:ascii="Calibri" w:hAnsi="Calibri"/>
                <w:b w:val="0"/>
                <w:color w:val="1E293B"/>
                <w:sz w:val="17"/>
              </w:rPr>
              <w:t>Republish PBIX to Production Workspace; rebind semantic model; repin dashboard KPI cards ($12.64M sales, $1.47M profit).</w:t>
            </w:r>
          </w:p>
        </w:tc>
        <w:tc>
          <w:tcPr>
            <w:tcW w:type="dxa" w:w="1872"/>
            <w:shd w:fill="F8FAFC"/>
          </w:tcPr>
          <w:p>
            <w:pPr>
              <w:jc w:val="left"/>
            </w:pPr>
            <w:r>
              <w:rPr>
                <w:rFonts w:ascii="Calibri" w:hAnsi="Calibri"/>
                <w:b w:val="0"/>
                <w:color w:val="1E293B"/>
                <w:sz w:val="17"/>
              </w:rPr>
              <w:t>Lead BI Architect</w:t>
            </w:r>
          </w:p>
        </w:tc>
        <w:tc>
          <w:tcPr>
            <w:tcW w:type="dxa" w:w="1872"/>
            <w:shd w:fill="F8FAFC"/>
          </w:tcPr>
          <w:p>
            <w:pPr>
              <w:jc w:val="center"/>
            </w:pPr>
            <w:r>
              <w:rPr>
                <w:rFonts w:ascii="Calibri" w:hAnsi="Calibri"/>
                <w:b w:val="0"/>
                <w:color w:val="1E293B"/>
                <w:sz w:val="17"/>
              </w:rPr>
              <w:t>Within 45 Minutes</w:t>
            </w:r>
          </w:p>
        </w:tc>
        <w:tc>
          <w:tcPr>
            <w:tcW w:type="dxa" w:w="1872"/>
            <w:shd w:fill="F8FAFC"/>
          </w:tcPr>
          <w:p>
            <w:pPr>
              <w:jc w:val="left"/>
            </w:pPr>
            <w:r>
              <w:rPr>
                <w:rFonts w:ascii="Calibri" w:hAnsi="Calibri"/>
                <w:b w:val="0"/>
                <w:color w:val="1E293B"/>
                <w:sz w:val="17"/>
              </w:rPr>
              <w:t>Report renders in cloud; dashboard tiles display live metrics.</w:t>
            </w:r>
          </w:p>
        </w:tc>
      </w:tr>
      <w:tr>
        <w:tc>
          <w:tcPr>
            <w:tcW w:type="dxa" w:w="1872"/>
            <w:shd w:fill="FFFFFF"/>
          </w:tcPr>
          <w:p>
            <w:pPr>
              <w:jc w:val="left"/>
            </w:pPr>
            <w:r>
              <w:rPr>
                <w:rFonts w:ascii="Calibri" w:hAnsi="Calibri"/>
                <w:b/>
                <w:color w:val="1E293B"/>
                <w:sz w:val="17"/>
              </w:rPr>
              <w:t>4. Security &amp; Access Restoration</w:t>
            </w:r>
          </w:p>
        </w:tc>
        <w:tc>
          <w:tcPr>
            <w:tcW w:type="dxa" w:w="1872"/>
            <w:shd w:fill="FFFFFF"/>
          </w:tcPr>
          <w:p>
            <w:pPr>
              <w:jc w:val="left"/>
            </w:pPr>
            <w:r>
              <w:rPr>
                <w:rFonts w:ascii="Calibri" w:hAnsi="Calibri"/>
                <w:b w:val="0"/>
                <w:color w:val="1E293B"/>
                <w:sz w:val="17"/>
              </w:rPr>
              <w:t>Reapply Row-Level Security (RLS) role mappings; restore Power BI App permissions for executive viewers.</w:t>
            </w:r>
          </w:p>
        </w:tc>
        <w:tc>
          <w:tcPr>
            <w:tcW w:type="dxa" w:w="1872"/>
            <w:shd w:fill="FFFFFF"/>
          </w:tcPr>
          <w:p>
            <w:pPr>
              <w:jc w:val="left"/>
            </w:pPr>
            <w:r>
              <w:rPr>
                <w:rFonts w:ascii="Calibri" w:hAnsi="Calibri"/>
                <w:b w:val="0"/>
                <w:color w:val="1E293B"/>
                <w:sz w:val="17"/>
              </w:rPr>
              <w:t>Security Admin</w:t>
            </w:r>
          </w:p>
        </w:tc>
        <w:tc>
          <w:tcPr>
            <w:tcW w:type="dxa" w:w="1872"/>
            <w:shd w:fill="FFFFFF"/>
          </w:tcPr>
          <w:p>
            <w:pPr>
              <w:jc w:val="center"/>
            </w:pPr>
            <w:r>
              <w:rPr>
                <w:rFonts w:ascii="Calibri" w:hAnsi="Calibri"/>
                <w:b w:val="0"/>
                <w:color w:val="1E293B"/>
                <w:sz w:val="17"/>
              </w:rPr>
              <w:t>Within 60 Minutes</w:t>
            </w:r>
          </w:p>
        </w:tc>
        <w:tc>
          <w:tcPr>
            <w:tcW w:type="dxa" w:w="1872"/>
            <w:shd w:fill="FFFFFF"/>
          </w:tcPr>
          <w:p>
            <w:pPr>
              <w:jc w:val="left"/>
            </w:pPr>
            <w:r>
              <w:rPr>
                <w:rFonts w:ascii="Calibri" w:hAnsi="Calibri"/>
                <w:b w:val="0"/>
                <w:color w:val="1E293B"/>
                <w:sz w:val="17"/>
              </w:rPr>
              <w:t>Test 'View as Role'; verify C-Suite and regional managers have correct access.</w:t>
            </w:r>
          </w:p>
        </w:tc>
      </w:tr>
      <w:tr>
        <w:tc>
          <w:tcPr>
            <w:tcW w:type="dxa" w:w="1872"/>
            <w:shd w:fill="F8FAFC"/>
          </w:tcPr>
          <w:p>
            <w:pPr>
              <w:jc w:val="left"/>
            </w:pPr>
            <w:r>
              <w:rPr>
                <w:rFonts w:ascii="Calibri" w:hAnsi="Calibri"/>
                <w:b/>
                <w:color w:val="1E293B"/>
                <w:sz w:val="17"/>
              </w:rPr>
              <w:t>5. Post-Mortem &amp; Preventative Action</w:t>
            </w:r>
          </w:p>
        </w:tc>
        <w:tc>
          <w:tcPr>
            <w:tcW w:type="dxa" w:w="1872"/>
            <w:shd w:fill="F8FAFC"/>
          </w:tcPr>
          <w:p>
            <w:pPr>
              <w:jc w:val="left"/>
            </w:pPr>
            <w:r>
              <w:rPr>
                <w:rFonts w:ascii="Calibri" w:hAnsi="Calibri"/>
                <w:b w:val="0"/>
                <w:color w:val="1E293B"/>
                <w:sz w:val="17"/>
              </w:rPr>
              <w:t>Conduct root-cause analysis; restrict Admin role deletion rights; enable Microsoft Purview deletion protection lock.</w:t>
            </w:r>
          </w:p>
        </w:tc>
        <w:tc>
          <w:tcPr>
            <w:tcW w:type="dxa" w:w="1872"/>
            <w:shd w:fill="F8FAFC"/>
          </w:tcPr>
          <w:p>
            <w:pPr>
              <w:jc w:val="left"/>
            </w:pPr>
            <w:r>
              <w:rPr>
                <w:rFonts w:ascii="Calibri" w:hAnsi="Calibri"/>
                <w:b w:val="0"/>
                <w:color w:val="1E293B"/>
                <w:sz w:val="17"/>
              </w:rPr>
              <w:t>BI Delivery Director</w:t>
            </w:r>
          </w:p>
        </w:tc>
        <w:tc>
          <w:tcPr>
            <w:tcW w:type="dxa" w:w="1872"/>
            <w:shd w:fill="F8FAFC"/>
          </w:tcPr>
          <w:p>
            <w:pPr>
              <w:jc w:val="center"/>
            </w:pPr>
            <w:r>
              <w:rPr>
                <w:rFonts w:ascii="Calibri" w:hAnsi="Calibri"/>
                <w:b w:val="0"/>
                <w:color w:val="1E293B"/>
                <w:sz w:val="17"/>
              </w:rPr>
              <w:t>Within 24 Hours</w:t>
            </w:r>
          </w:p>
        </w:tc>
        <w:tc>
          <w:tcPr>
            <w:tcW w:type="dxa" w:w="1872"/>
            <w:shd w:fill="F8FAFC"/>
          </w:tcPr>
          <w:p>
            <w:pPr>
              <w:jc w:val="left"/>
            </w:pPr>
            <w:r>
              <w:rPr>
                <w:rFonts w:ascii="Calibri" w:hAnsi="Calibri"/>
                <w:b w:val="0"/>
                <w:color w:val="1E293B"/>
                <w:sz w:val="17"/>
              </w:rPr>
              <w:t>Formal post-incident report filed; governance controls updated.</w:t>
            </w:r>
          </w:p>
        </w:tc>
      </w:tr>
    </w:tbl>
    <w:p>
      <w:pPr>
        <w:spacing w:after="80"/>
      </w:pPr>
    </w:p>
    <w:p>
      <w:pPr>
        <w:spacing w:before="160" w:after="40"/>
        <w:jc w:val="center"/>
      </w:pPr>
      <w:r>
        <w:drawing>
          <wp:inline xmlns:a="http://schemas.openxmlformats.org/drawingml/2006/main" xmlns:pic="http://schemas.openxmlformats.org/drawingml/2006/picture">
            <wp:extent cx="5120640" cy="1599896"/>
            <wp:docPr id="2" name="Picture 2"/>
            <wp:cNvGraphicFramePr>
              <a:graphicFrameLocks noChangeAspect="1"/>
            </wp:cNvGraphicFramePr>
            <a:graphic>
              <a:graphicData uri="http://schemas.openxmlformats.org/drawingml/2006/picture">
                <pic:pic>
                  <pic:nvPicPr>
                    <pic:cNvPr id="0" name="input_file_0.png"/>
                    <pic:cNvPicPr/>
                  </pic:nvPicPr>
                  <pic:blipFill>
                    <a:blip r:embed="rId10"/>
                    <a:stretch>
                      <a:fillRect/>
                    </a:stretch>
                  </pic:blipFill>
                  <pic:spPr>
                    <a:xfrm>
                      <a:off x="0" y="0"/>
                      <a:ext cx="5120640" cy="1599896"/>
                    </a:xfrm>
                    <a:prstGeom prst="rect"/>
                  </pic:spPr>
                </pic:pic>
              </a:graphicData>
            </a:graphic>
          </wp:inline>
        </w:drawing>
      </w:r>
    </w:p>
    <w:p>
      <w:pPr>
        <w:spacing w:before="0" w:after="200"/>
        <w:jc w:val="center"/>
      </w:pPr>
      <w:r>
        <w:rPr>
          <w:rFonts w:ascii="Calibri" w:hAnsi="Calibri"/>
          <w:b/>
          <w:i/>
          <w:color w:val="64748B"/>
          <w:sz w:val="19"/>
        </w:rPr>
        <w:t>Figure 10.2: Regional Performance Matrix Validated Post-Restoration ($1.73M Western Europe Baseline)</w:t>
      </w:r>
    </w:p>
    <w:p>
      <w:pPr>
        <w:spacing w:after="80" w:before="280" w:line="276" w:lineRule="auto"/>
        <w:pBdr>
          <w:bottom w:val="single" w:sz="8" w:space="4" w:color="2563EB"/>
        </w:pBdr>
      </w:pPr>
      <w:r>
        <w:rPr>
          <w:rFonts w:ascii="Calibri" w:hAnsi="Calibri"/>
          <w:b/>
          <w:i w:val="0"/>
          <w:color w:val="1A2B4C"/>
          <w:sz w:val="29"/>
        </w:rPr>
        <w:t>8. Conclusion &amp; Deliverables Summary</w:t>
      </w:r>
    </w:p>
    <w:p>
      <w:pPr>
        <w:spacing w:after="100" w:line="276" w:lineRule="auto"/>
      </w:pPr>
      <w:r>
        <w:rPr>
          <w:rFonts w:ascii="Calibri" w:hAnsi="Calibri"/>
          <w:color w:val="1E293B"/>
          <w:sz w:val="21"/>
        </w:rPr>
        <w:t>Experiment 10 provides the operational bridge connecting Business Intelligence design with continuous, high-availability enterprise delivery. By establishing structured deployment pipelines, enforcing workspace governance (Admin, Member, Contributor, Viewer), tracking automated telemetry across refresh status and query performance, and anchoring operations in Git-backed versioned backups, Global Superstore protects mission-critical analytics against catastrophic disruption. The disaster recovery protocol guarantees a 60-minute RTO, ensuring organizational leadership retains dependable decision intelligence at all times.</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