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rFonts w:ascii="Calibri" w:hAnsi="Calibri"/>
          <w:b/>
          <w:i w:val="0"/>
          <w:color w:val="1A2B4C"/>
          <w:sz w:val="46"/>
        </w:rPr>
        <w:t>Business Intelligence Security &amp; Data Protection Report</w:t>
      </w:r>
    </w:p>
    <w:p>
      <w:pPr>
        <w:spacing w:after="280" w:before="0" w:line="276" w:lineRule="auto"/>
      </w:pPr>
      <w:r>
        <w:rPr>
          <w:rFonts w:ascii="Calibri" w:hAnsi="Calibri"/>
          <w:b w:val="0"/>
          <w:i/>
          <w:color w:val="2563EB"/>
          <w:sz w:val="25"/>
        </w:rPr>
        <w:t>Experiment 9: Authentication, Authorization, RBAC &amp; Row-Level Security</w:t>
      </w:r>
    </w:p>
    <w:tbl>
      <w:tblPr>
        <w:tblW w:type="auto" w:w="0"/>
        <w:jc w:val="center"/>
        <w:tblLook w:firstColumn="1" w:firstRow="1" w:lastColumn="0" w:lastRow="0" w:noHBand="0" w:noVBand="1" w:val="04A0"/>
      </w:tblPr>
      <w:tblGrid>
        <w:gridCol w:w="4680"/>
        <w:gridCol w:w="4680"/>
      </w:tblGrid>
      <w:tr>
        <w:tc>
          <w:tcPr>
            <w:tcW w:type="dxa" w:w="4680"/>
            <w:shd w:fill="F8FAFC"/>
          </w:tcPr>
          <w:p>
            <w:pPr>
              <w:spacing w:after="40"/>
            </w:pPr>
            <w:r>
              <w:rPr>
                <w:rFonts w:ascii="Calibri" w:hAnsi="Calibri"/>
                <w:b/>
                <w:color w:val="1A2B4C"/>
                <w:sz w:val="19"/>
              </w:rPr>
              <w:t xml:space="preserve">Course / Lab: </w:t>
            </w:r>
            <w:r>
              <w:rPr>
                <w:rFonts w:ascii="Calibri" w:hAnsi="Calibri"/>
                <w:color w:val="1E293B"/>
                <w:sz w:val="19"/>
              </w:rPr>
              <w:t>Business Intelligence &amp; Analytics — Experiment 9</w:t>
            </w:r>
          </w:p>
        </w:tc>
        <w:tc>
          <w:tcPr>
            <w:tcW w:type="dxa" w:w="4680"/>
            <w:shd w:fill="F8FAFC"/>
          </w:tcPr>
          <w:p>
            <w:pPr>
              <w:spacing w:after="40"/>
            </w:pPr>
            <w:r>
              <w:rPr>
                <w:rFonts w:ascii="Calibri" w:hAnsi="Calibri"/>
                <w:b/>
                <w:color w:val="1A2B4C"/>
                <w:sz w:val="19"/>
              </w:rPr>
              <w:t xml:space="preserve">Dataset: </w:t>
            </w:r>
            <w:r>
              <w:rPr>
                <w:rFonts w:ascii="Calibri" w:hAnsi="Calibri"/>
                <w:color w:val="1E293B"/>
                <w:sz w:val="19"/>
              </w:rPr>
              <w:t>Global Superstore Dataset (51,290 Records)</w:t>
            </w:r>
          </w:p>
        </w:tc>
      </w:tr>
      <w:tr>
        <w:tc>
          <w:tcPr>
            <w:tcW w:type="dxa" w:w="4680"/>
            <w:shd w:fill="F8FAFC"/>
          </w:tcPr>
          <w:p>
            <w:pPr>
              <w:spacing w:after="40"/>
            </w:pPr>
            <w:r>
              <w:rPr>
                <w:rFonts w:ascii="Calibri" w:hAnsi="Calibri"/>
                <w:b/>
                <w:color w:val="1A2B4C"/>
                <w:sz w:val="19"/>
              </w:rPr>
              <w:t xml:space="preserve">Security Architecture: </w:t>
            </w:r>
            <w:r>
              <w:rPr>
                <w:rFonts w:ascii="Calibri" w:hAnsi="Calibri"/>
                <w:color w:val="1E293B"/>
                <w:sz w:val="19"/>
              </w:rPr>
              <w:t>Microsoft Power BI Desktop / Service, Azure AD, DAX RLS</w:t>
            </w:r>
          </w:p>
        </w:tc>
        <w:tc>
          <w:tcPr>
            <w:tcW w:type="dxa" w:w="4680"/>
            <w:shd w:fill="F8FAFC"/>
          </w:tcPr>
          <w:p>
            <w:pPr>
              <w:spacing w:after="40"/>
            </w:pPr>
            <w:r>
              <w:rPr>
                <w:rFonts w:ascii="Calibri" w:hAnsi="Calibri"/>
                <w:b/>
                <w:color w:val="1A2B4C"/>
                <w:sz w:val="19"/>
              </w:rPr>
              <w:t xml:space="preserve">Focus Deliverable: </w:t>
            </w:r>
            <w:r>
              <w:rPr>
                <w:rFonts w:ascii="Calibri" w:hAnsi="Calibri"/>
                <w:color w:val="1E293B"/>
                <w:sz w:val="19"/>
              </w:rPr>
              <w:t>Access Control Matrix, RLS Design &amp; Risk Assessment</w:t>
            </w:r>
          </w:p>
        </w:tc>
      </w:tr>
    </w:tbl>
    <w:p>
      <w:pPr>
        <w:spacing w:after="80"/>
      </w:pPr>
    </w:p>
    <w:p>
      <w:pPr>
        <w:spacing w:after="80" w:before="280" w:line="276" w:lineRule="auto"/>
        <w:pBdr>
          <w:bottom w:val="single" w:sz="8" w:space="4" w:color="2563EB"/>
        </w:pBdr>
      </w:pPr>
      <w:r>
        <w:rPr>
          <w:rFonts w:ascii="Calibri" w:hAnsi="Calibri"/>
          <w:b/>
          <w:i w:val="0"/>
          <w:color w:val="1A2B4C"/>
          <w:sz w:val="29"/>
        </w:rPr>
        <w:t>1. Aim &amp; Objectives</w:t>
      </w:r>
    </w:p>
    <w:p>
      <w:pPr>
        <w:spacing w:after="100" w:line="276" w:lineRule="auto"/>
      </w:pPr>
      <w:r>
        <w:rPr>
          <w:rFonts w:ascii="Calibri" w:hAnsi="Calibri"/>
          <w:color w:val="1E293B"/>
          <w:sz w:val="21"/>
        </w:rPr>
        <w:t>To understand and implement enterprise Business Intelligence security architectures—including multi-factor authentication, role-based access control (RBAC), Row-Level Security (RLS), and data exfiltration defense—using Microsoft Power BI Desktop and Service. The objective is to protect sensitive corporate assets, ensure regulatory compliance, and enforce the principle of least privilege across global operations.</w:t>
      </w:r>
    </w:p>
    <w:p>
      <w:pPr>
        <w:pStyle w:val="ListBullet"/>
        <w:spacing w:after="70" w:line="276" w:lineRule="auto"/>
      </w:pPr>
      <w:r>
        <w:rPr>
          <w:rFonts w:ascii="Calibri" w:hAnsi="Calibri"/>
          <w:color w:val="1E293B"/>
          <w:sz w:val="21"/>
        </w:rPr>
        <w:t>Identify information requirements across diverse organizational roles (CEO, Sales Manager, Finance Manager, Regional Manager).</w:t>
      </w:r>
    </w:p>
    <w:p>
      <w:pPr>
        <w:pStyle w:val="ListBullet"/>
        <w:spacing w:after="70" w:line="276" w:lineRule="auto"/>
      </w:pPr>
      <w:r>
        <w:rPr>
          <w:rFonts w:ascii="Calibri" w:hAnsi="Calibri"/>
          <w:color w:val="1E293B"/>
          <w:sz w:val="21"/>
        </w:rPr>
        <w:t>Compare enterprise authentication approaches (Username/Password vs. Azure AD vs. Multi-Factor Authentication).</w:t>
      </w:r>
    </w:p>
    <w:p>
      <w:pPr>
        <w:pStyle w:val="ListBullet"/>
        <w:spacing w:after="70" w:line="276" w:lineRule="auto"/>
      </w:pPr>
      <w:r>
        <w:rPr>
          <w:rFonts w:ascii="Calibri" w:hAnsi="Calibri"/>
          <w:color w:val="1E293B"/>
          <w:sz w:val="21"/>
        </w:rPr>
        <w:t>Design a granular Role-Based Access Control (RBAC) permission matrix balancing view, edit, share, and administrative rights.</w:t>
      </w:r>
    </w:p>
    <w:p>
      <w:pPr>
        <w:pStyle w:val="ListBullet"/>
        <w:spacing w:after="70" w:line="276" w:lineRule="auto"/>
      </w:pPr>
      <w:r>
        <w:rPr>
          <w:rFonts w:ascii="Calibri" w:hAnsi="Calibri"/>
          <w:color w:val="1E293B"/>
          <w:sz w:val="21"/>
        </w:rPr>
        <w:t>Engineer a Row-Level Security (RLS) strategy using DAX expressions to partition regional order transactions automatically.</w:t>
      </w:r>
    </w:p>
    <w:p>
      <w:pPr>
        <w:pStyle w:val="ListBullet"/>
        <w:spacing w:after="70" w:line="276" w:lineRule="auto"/>
      </w:pPr>
      <w:r>
        <w:rPr>
          <w:rFonts w:ascii="Calibri" w:hAnsi="Calibri"/>
          <w:color w:val="1E293B"/>
          <w:sz w:val="21"/>
        </w:rPr>
        <w:t>Conduct a comprehensive security risk assessment and formulate an executive mitigation roadmap.</w:t>
      </w:r>
    </w:p>
    <w:p>
      <w:pPr>
        <w:spacing w:after="80" w:before="280" w:line="276" w:lineRule="auto"/>
        <w:pBdr>
          <w:bottom w:val="single" w:sz="8" w:space="4" w:color="2563EB"/>
        </w:pBdr>
      </w:pPr>
      <w:r>
        <w:rPr>
          <w:rFonts w:ascii="Calibri" w:hAnsi="Calibri"/>
          <w:b/>
          <w:i w:val="0"/>
          <w:color w:val="1A2B4C"/>
          <w:sz w:val="29"/>
        </w:rPr>
        <w:t>2. Supporting BI Dashboard Architecture</w:t>
      </w:r>
    </w:p>
    <w:p>
      <w:pPr>
        <w:spacing w:after="100" w:line="276" w:lineRule="auto"/>
      </w:pPr>
      <w:r>
        <w:rPr>
          <w:rFonts w:ascii="Calibri" w:hAnsi="Calibri"/>
          <w:color w:val="1E293B"/>
          <w:sz w:val="21"/>
        </w:rPr>
        <w:t>The security strategy governs the operational dashboard established in prior experiments, encompassing 51,290 transactions across 13 global regions with $12,642,501.91 in Total Sales, $1,467,457.29 in Total Profit, and 25,728 distinct orders. Figure 9.1 depicts the central dashboard interface whose regional, category, and customer dimensions must be protected through role-based governance.</w:t>
      </w:r>
    </w:p>
    <w:p>
      <w:pPr>
        <w:spacing w:before="160" w:after="40"/>
        <w:jc w:val="center"/>
      </w:pPr>
      <w:r>
        <w:drawing>
          <wp:inline xmlns:a="http://schemas.openxmlformats.org/drawingml/2006/main" xmlns:pic="http://schemas.openxmlformats.org/drawingml/2006/picture">
            <wp:extent cx="5212080" cy="2969727"/>
            <wp:docPr id="1" name="Picture 1"/>
            <wp:cNvGraphicFramePr>
              <a:graphicFrameLocks noChangeAspect="1"/>
            </wp:cNvGraphicFramePr>
            <a:graphic>
              <a:graphicData uri="http://schemas.openxmlformats.org/drawingml/2006/picture">
                <pic:pic>
                  <pic:nvPicPr>
                    <pic:cNvPr id="0" name="input_file_4.png"/>
                    <pic:cNvPicPr/>
                  </pic:nvPicPr>
                  <pic:blipFill>
                    <a:blip r:embed="rId9"/>
                    <a:stretch>
                      <a:fillRect/>
                    </a:stretch>
                  </pic:blipFill>
                  <pic:spPr>
                    <a:xfrm>
                      <a:off x="0" y="0"/>
                      <a:ext cx="5212080" cy="2969727"/>
                    </a:xfrm>
                    <a:prstGeom prst="rect"/>
                  </pic:spPr>
                </pic:pic>
              </a:graphicData>
            </a:graphic>
          </wp:inline>
        </w:drawing>
      </w:r>
    </w:p>
    <w:p>
      <w:pPr>
        <w:spacing w:before="0" w:after="200"/>
        <w:jc w:val="center"/>
      </w:pPr>
      <w:r>
        <w:rPr>
          <w:rFonts w:ascii="Calibri" w:hAnsi="Calibri"/>
          <w:b/>
          <w:i/>
          <w:color w:val="64748B"/>
          <w:sz w:val="19"/>
        </w:rPr>
        <w:t>Figure 9.1: Global Superstore Executive Performance Dashboard Governed by BI Security</w:t>
      </w:r>
    </w:p>
    <w:p>
      <w:pPr>
        <w:spacing w:after="80" w:before="280" w:line="276" w:lineRule="auto"/>
        <w:pBdr>
          <w:bottom w:val="single" w:sz="8" w:space="4" w:color="2563EB"/>
        </w:pBdr>
      </w:pPr>
      <w:r>
        <w:rPr>
          <w:rFonts w:ascii="Calibri" w:hAnsi="Calibri"/>
          <w:b/>
          <w:i w:val="0"/>
          <w:color w:val="1A2B4C"/>
          <w:sz w:val="29"/>
        </w:rPr>
        <w:t>3. User and Role Identification (Part A)</w:t>
      </w:r>
    </w:p>
    <w:p>
      <w:pPr>
        <w:spacing w:after="100" w:line="276" w:lineRule="auto"/>
      </w:pPr>
      <w:r>
        <w:rPr>
          <w:rFonts w:ascii="Calibri" w:hAnsi="Calibri"/>
          <w:color w:val="1E293B"/>
          <w:sz w:val="21"/>
        </w:rPr>
        <w:t>Security governance begins with mapping organizational roles to their legitimate operational data requirements. Enforcing the principle of least privilege ensures users receive only the information necessary to fulfill their responsibilities. Table 9.1 delineates the role and information matrix designed for Global Superstore.</w:t>
      </w:r>
    </w:p>
    <w:tbl>
      <w:tblPr>
        <w:tblW w:type="auto" w:w="0"/>
        <w:jc w:val="center"/>
        <w:tblLook w:firstColumn="1" w:firstRow="1" w:lastColumn="0" w:lastRow="0" w:noHBand="0" w:noVBand="1" w:val="04A0"/>
      </w:tblPr>
      <w:tblGrid>
        <w:gridCol w:w="2340"/>
        <w:gridCol w:w="2340"/>
        <w:gridCol w:w="2340"/>
        <w:gridCol w:w="2340"/>
      </w:tblGrid>
      <w:tr>
        <w:tc>
          <w:tcPr>
            <w:tcW w:type="dxa" w:w="2340"/>
            <w:shd w:fill="1A2B4C"/>
          </w:tcPr>
          <w:p>
            <w:pPr>
              <w:jc w:val="center"/>
            </w:pPr>
            <w:r>
              <w:rPr>
                <w:rFonts w:ascii="Calibri" w:hAnsi="Calibri"/>
                <w:b/>
                <w:color w:val="FFFFFF"/>
                <w:sz w:val="19"/>
              </w:rPr>
              <w:t>User Role</w:t>
            </w:r>
          </w:p>
        </w:tc>
        <w:tc>
          <w:tcPr>
            <w:tcW w:type="dxa" w:w="2340"/>
            <w:shd w:fill="1A2B4C"/>
          </w:tcPr>
          <w:p>
            <w:pPr>
              <w:jc w:val="center"/>
            </w:pPr>
            <w:r>
              <w:rPr>
                <w:rFonts w:ascii="Calibri" w:hAnsi="Calibri"/>
                <w:b/>
                <w:color w:val="FFFFFF"/>
                <w:sz w:val="19"/>
              </w:rPr>
              <w:t>Required Reports / Dashboards</w:t>
            </w:r>
          </w:p>
        </w:tc>
        <w:tc>
          <w:tcPr>
            <w:tcW w:type="dxa" w:w="2340"/>
            <w:shd w:fill="1A2B4C"/>
          </w:tcPr>
          <w:p>
            <w:pPr>
              <w:jc w:val="center"/>
            </w:pPr>
            <w:r>
              <w:rPr>
                <w:rFonts w:ascii="Calibri" w:hAnsi="Calibri"/>
                <w:b/>
                <w:color w:val="FFFFFF"/>
                <w:sz w:val="19"/>
              </w:rPr>
              <w:t>Data Scope / Granularity</w:t>
            </w:r>
          </w:p>
        </w:tc>
        <w:tc>
          <w:tcPr>
            <w:tcW w:type="dxa" w:w="2340"/>
            <w:shd w:fill="1A2B4C"/>
          </w:tcPr>
          <w:p>
            <w:pPr>
              <w:jc w:val="center"/>
            </w:pPr>
            <w:r>
              <w:rPr>
                <w:rFonts w:ascii="Calibri" w:hAnsi="Calibri"/>
                <w:b/>
                <w:color w:val="FFFFFF"/>
                <w:sz w:val="19"/>
              </w:rPr>
              <w:t>Access Requirement &amp; Purpose</w:t>
            </w:r>
          </w:p>
        </w:tc>
      </w:tr>
      <w:tr>
        <w:tc>
          <w:tcPr>
            <w:tcW w:type="dxa" w:w="2340"/>
            <w:shd w:fill="F8FAFC"/>
          </w:tcPr>
          <w:p>
            <w:pPr>
              <w:jc w:val="left"/>
            </w:pPr>
            <w:r>
              <w:rPr>
                <w:rFonts w:ascii="Calibri" w:hAnsi="Calibri"/>
                <w:b/>
                <w:color w:val="1E293B"/>
                <w:sz w:val="17"/>
              </w:rPr>
              <w:t>Chief Executive Officer (CEO)</w:t>
            </w:r>
          </w:p>
        </w:tc>
        <w:tc>
          <w:tcPr>
            <w:tcW w:type="dxa" w:w="2340"/>
            <w:shd w:fill="F8FAFC"/>
          </w:tcPr>
          <w:p>
            <w:pPr>
              <w:jc w:val="left"/>
            </w:pPr>
            <w:r>
              <w:rPr>
                <w:rFonts w:ascii="Calibri" w:hAnsi="Calibri"/>
                <w:b w:val="0"/>
                <w:color w:val="1E293B"/>
                <w:sz w:val="17"/>
              </w:rPr>
              <w:t>Executive Dashboard, Global KPI Scorecard, Strategic Trends</w:t>
            </w:r>
          </w:p>
        </w:tc>
        <w:tc>
          <w:tcPr>
            <w:tcW w:type="dxa" w:w="2340"/>
            <w:shd w:fill="F8FAFC"/>
          </w:tcPr>
          <w:p>
            <w:pPr>
              <w:jc w:val="left"/>
            </w:pPr>
            <w:r>
              <w:rPr>
                <w:rFonts w:ascii="Calibri" w:hAnsi="Calibri"/>
                <w:b w:val="0"/>
                <w:color w:val="1E293B"/>
                <w:sz w:val="17"/>
              </w:rPr>
              <w:t>Global Aggregated (All Regions, Categories, Multi-Year)</w:t>
            </w:r>
          </w:p>
        </w:tc>
        <w:tc>
          <w:tcPr>
            <w:tcW w:type="dxa" w:w="2340"/>
            <w:shd w:fill="F8FAFC"/>
          </w:tcPr>
          <w:p>
            <w:pPr>
              <w:jc w:val="left"/>
            </w:pPr>
            <w:r>
              <w:rPr>
                <w:rFonts w:ascii="Calibri" w:hAnsi="Calibri"/>
                <w:b w:val="0"/>
                <w:color w:val="1E293B"/>
                <w:sz w:val="17"/>
              </w:rPr>
              <w:t>Read-only strategic oversight; monitor target quotas and overall company growth.</w:t>
            </w:r>
          </w:p>
        </w:tc>
      </w:tr>
      <w:tr>
        <w:tc>
          <w:tcPr>
            <w:tcW w:type="dxa" w:w="2340"/>
            <w:shd w:fill="FFFFFF"/>
          </w:tcPr>
          <w:p>
            <w:pPr>
              <w:jc w:val="left"/>
            </w:pPr>
            <w:r>
              <w:rPr>
                <w:rFonts w:ascii="Calibri" w:hAnsi="Calibri"/>
                <w:b/>
                <w:color w:val="1E293B"/>
                <w:sz w:val="17"/>
              </w:rPr>
              <w:t>Global Sales Manager</w:t>
            </w:r>
          </w:p>
        </w:tc>
        <w:tc>
          <w:tcPr>
            <w:tcW w:type="dxa" w:w="2340"/>
            <w:shd w:fill="FFFFFF"/>
          </w:tcPr>
          <w:p>
            <w:pPr>
              <w:jc w:val="left"/>
            </w:pPr>
            <w:r>
              <w:rPr>
                <w:rFonts w:ascii="Calibri" w:hAnsi="Calibri"/>
                <w:b w:val="0"/>
                <w:color w:val="1E293B"/>
                <w:sz w:val="17"/>
              </w:rPr>
              <w:t>Sales Performance by Region, Top 10 Customers, Segment Performance</w:t>
            </w:r>
          </w:p>
        </w:tc>
        <w:tc>
          <w:tcPr>
            <w:tcW w:type="dxa" w:w="2340"/>
            <w:shd w:fill="FFFFFF"/>
          </w:tcPr>
          <w:p>
            <w:pPr>
              <w:jc w:val="left"/>
            </w:pPr>
            <w:r>
              <w:rPr>
                <w:rFonts w:ascii="Calibri" w:hAnsi="Calibri"/>
                <w:b w:val="0"/>
                <w:color w:val="1E293B"/>
                <w:sz w:val="17"/>
              </w:rPr>
              <w:t>Global Operational &amp; Customer Detail (Transaction Level)</w:t>
            </w:r>
          </w:p>
        </w:tc>
        <w:tc>
          <w:tcPr>
            <w:tcW w:type="dxa" w:w="2340"/>
            <w:shd w:fill="FFFFFF"/>
          </w:tcPr>
          <w:p>
            <w:pPr>
              <w:jc w:val="left"/>
            </w:pPr>
            <w:r>
              <w:rPr>
                <w:rFonts w:ascii="Calibri" w:hAnsi="Calibri"/>
                <w:b w:val="0"/>
                <w:color w:val="1E293B"/>
                <w:sz w:val="17"/>
              </w:rPr>
              <w:t>Read &amp; analytical filtering; evaluate sales representative pipeline and key accounts.</w:t>
            </w:r>
          </w:p>
        </w:tc>
      </w:tr>
      <w:tr>
        <w:tc>
          <w:tcPr>
            <w:tcW w:type="dxa" w:w="2340"/>
            <w:shd w:fill="F8FAFC"/>
          </w:tcPr>
          <w:p>
            <w:pPr>
              <w:jc w:val="left"/>
            </w:pPr>
            <w:r>
              <w:rPr>
                <w:rFonts w:ascii="Calibri" w:hAnsi="Calibri"/>
                <w:b/>
                <w:color w:val="1E293B"/>
                <w:sz w:val="17"/>
              </w:rPr>
              <w:t>Global Finance Manager</w:t>
            </w:r>
          </w:p>
        </w:tc>
        <w:tc>
          <w:tcPr>
            <w:tcW w:type="dxa" w:w="2340"/>
            <w:shd w:fill="F8FAFC"/>
          </w:tcPr>
          <w:p>
            <w:pPr>
              <w:jc w:val="left"/>
            </w:pPr>
            <w:r>
              <w:rPr>
                <w:rFonts w:ascii="Calibri" w:hAnsi="Calibri"/>
                <w:b w:val="0"/>
                <w:color w:val="1E293B"/>
                <w:sz w:val="17"/>
              </w:rPr>
              <w:t>Profit by Category, Cost &amp; Margin Analysis, Scorecard Financials</w:t>
            </w:r>
          </w:p>
        </w:tc>
        <w:tc>
          <w:tcPr>
            <w:tcW w:type="dxa" w:w="2340"/>
            <w:shd w:fill="F8FAFC"/>
          </w:tcPr>
          <w:p>
            <w:pPr>
              <w:jc w:val="left"/>
            </w:pPr>
            <w:r>
              <w:rPr>
                <w:rFonts w:ascii="Calibri" w:hAnsi="Calibri"/>
                <w:b w:val="0"/>
                <w:color w:val="1E293B"/>
                <w:sz w:val="17"/>
              </w:rPr>
              <w:t>Global Financial &amp; Margin Detail (Costs, Discounts, Profits)</w:t>
            </w:r>
          </w:p>
        </w:tc>
        <w:tc>
          <w:tcPr>
            <w:tcW w:type="dxa" w:w="2340"/>
            <w:shd w:fill="F8FAFC"/>
          </w:tcPr>
          <w:p>
            <w:pPr>
              <w:jc w:val="left"/>
            </w:pPr>
            <w:r>
              <w:rPr>
                <w:rFonts w:ascii="Calibri" w:hAnsi="Calibri"/>
                <w:b w:val="0"/>
                <w:color w:val="1E293B"/>
                <w:sz w:val="17"/>
              </w:rPr>
              <w:t>Read &amp; analytical drill-down; monitor margin leakage, discount thresholds, and net profits.</w:t>
            </w:r>
          </w:p>
        </w:tc>
      </w:tr>
      <w:tr>
        <w:tc>
          <w:tcPr>
            <w:tcW w:type="dxa" w:w="2340"/>
            <w:shd w:fill="FFFFFF"/>
          </w:tcPr>
          <w:p>
            <w:pPr>
              <w:jc w:val="left"/>
            </w:pPr>
            <w:r>
              <w:rPr>
                <w:rFonts w:ascii="Calibri" w:hAnsi="Calibri"/>
                <w:b/>
                <w:color w:val="1E293B"/>
                <w:sz w:val="17"/>
              </w:rPr>
              <w:t>Regional Sales Manager (e.g., Western Europe)</w:t>
            </w:r>
          </w:p>
        </w:tc>
        <w:tc>
          <w:tcPr>
            <w:tcW w:type="dxa" w:w="2340"/>
            <w:shd w:fill="FFFFFF"/>
          </w:tcPr>
          <w:p>
            <w:pPr>
              <w:jc w:val="left"/>
            </w:pPr>
            <w:r>
              <w:rPr>
                <w:rFonts w:ascii="Calibri" w:hAnsi="Calibri"/>
                <w:b w:val="0"/>
                <w:color w:val="1E293B"/>
                <w:sz w:val="17"/>
              </w:rPr>
              <w:t>Regional Sales &amp; Profit, Regional Territory Slicers, Branch Scorecard</w:t>
            </w:r>
          </w:p>
        </w:tc>
        <w:tc>
          <w:tcPr>
            <w:tcW w:type="dxa" w:w="2340"/>
            <w:shd w:fill="FFFFFF"/>
          </w:tcPr>
          <w:p>
            <w:pPr>
              <w:jc w:val="left"/>
            </w:pPr>
            <w:r>
              <w:rPr>
                <w:rFonts w:ascii="Calibri" w:hAnsi="Calibri"/>
                <w:b w:val="0"/>
                <w:color w:val="1E293B"/>
                <w:sz w:val="17"/>
              </w:rPr>
              <w:t>Restricted to Assigned Region Only (Filtered via RLS)</w:t>
            </w:r>
          </w:p>
        </w:tc>
        <w:tc>
          <w:tcPr>
            <w:tcW w:type="dxa" w:w="2340"/>
            <w:shd w:fill="FFFFFF"/>
          </w:tcPr>
          <w:p>
            <w:pPr>
              <w:jc w:val="left"/>
            </w:pPr>
            <w:r>
              <w:rPr>
                <w:rFonts w:ascii="Calibri" w:hAnsi="Calibri"/>
                <w:b w:val="0"/>
                <w:color w:val="1E293B"/>
                <w:sz w:val="17"/>
              </w:rPr>
              <w:t>Operational tracking of local branch performance without exposure to competitor territory data.</w:t>
            </w:r>
          </w:p>
        </w:tc>
      </w:tr>
      <w:tr>
        <w:tc>
          <w:tcPr>
            <w:tcW w:type="dxa" w:w="2340"/>
            <w:shd w:fill="F8FAFC"/>
          </w:tcPr>
          <w:p>
            <w:pPr>
              <w:jc w:val="left"/>
            </w:pPr>
            <w:r>
              <w:rPr>
                <w:rFonts w:ascii="Calibri" w:hAnsi="Calibri"/>
                <w:b/>
                <w:color w:val="1E293B"/>
                <w:sz w:val="17"/>
              </w:rPr>
              <w:t>BI Report Author / Developer</w:t>
            </w:r>
          </w:p>
        </w:tc>
        <w:tc>
          <w:tcPr>
            <w:tcW w:type="dxa" w:w="2340"/>
            <w:shd w:fill="F8FAFC"/>
          </w:tcPr>
          <w:p>
            <w:pPr>
              <w:jc w:val="left"/>
            </w:pPr>
            <w:r>
              <w:rPr>
                <w:rFonts w:ascii="Calibri" w:hAnsi="Calibri"/>
                <w:b w:val="0"/>
                <w:color w:val="1E293B"/>
                <w:sz w:val="17"/>
              </w:rPr>
              <w:t>All PBIX Reports, Data Models, DAX Measures, Power Query Pipelines</w:t>
            </w:r>
          </w:p>
        </w:tc>
        <w:tc>
          <w:tcPr>
            <w:tcW w:type="dxa" w:w="2340"/>
            <w:shd w:fill="F8FAFC"/>
          </w:tcPr>
          <w:p>
            <w:pPr>
              <w:jc w:val="left"/>
            </w:pPr>
            <w:r>
              <w:rPr>
                <w:rFonts w:ascii="Calibri" w:hAnsi="Calibri"/>
                <w:b w:val="0"/>
                <w:color w:val="1E293B"/>
                <w:sz w:val="17"/>
              </w:rPr>
              <w:t>Full Data Model Schema &amp; Raw Underlying Datasets</w:t>
            </w:r>
          </w:p>
        </w:tc>
        <w:tc>
          <w:tcPr>
            <w:tcW w:type="dxa" w:w="2340"/>
            <w:shd w:fill="F8FAFC"/>
          </w:tcPr>
          <w:p>
            <w:pPr>
              <w:jc w:val="left"/>
            </w:pPr>
            <w:r>
              <w:rPr>
                <w:rFonts w:ascii="Calibri" w:hAnsi="Calibri"/>
                <w:b w:val="0"/>
                <w:color w:val="1E293B"/>
                <w:sz w:val="17"/>
              </w:rPr>
              <w:t>Create, modify, test, and publish reports and semantic models across workspaces.</w:t>
            </w:r>
          </w:p>
        </w:tc>
      </w:tr>
      <w:tr>
        <w:tc>
          <w:tcPr>
            <w:tcW w:type="dxa" w:w="2340"/>
            <w:shd w:fill="FFFFFF"/>
          </w:tcPr>
          <w:p>
            <w:pPr>
              <w:jc w:val="left"/>
            </w:pPr>
            <w:r>
              <w:rPr>
                <w:rFonts w:ascii="Calibri" w:hAnsi="Calibri"/>
                <w:b/>
                <w:color w:val="1E293B"/>
                <w:sz w:val="17"/>
              </w:rPr>
              <w:t>BI Workspace Administrator</w:t>
            </w:r>
          </w:p>
        </w:tc>
        <w:tc>
          <w:tcPr>
            <w:tcW w:type="dxa" w:w="2340"/>
            <w:shd w:fill="FFFFFF"/>
          </w:tcPr>
          <w:p>
            <w:pPr>
              <w:jc w:val="left"/>
            </w:pPr>
            <w:r>
              <w:rPr>
                <w:rFonts w:ascii="Calibri" w:hAnsi="Calibri"/>
                <w:b w:val="0"/>
                <w:color w:val="1E293B"/>
                <w:sz w:val="17"/>
              </w:rPr>
              <w:t>Power BI Admin Portal, Workspace Settings, Access Control, Audit Logs</w:t>
            </w:r>
          </w:p>
        </w:tc>
        <w:tc>
          <w:tcPr>
            <w:tcW w:type="dxa" w:w="2340"/>
            <w:shd w:fill="FFFFFF"/>
          </w:tcPr>
          <w:p>
            <w:pPr>
              <w:jc w:val="left"/>
            </w:pPr>
            <w:r>
              <w:rPr>
                <w:rFonts w:ascii="Calibri" w:hAnsi="Calibri"/>
                <w:b w:val="0"/>
                <w:color w:val="1E293B"/>
                <w:sz w:val="17"/>
              </w:rPr>
              <w:t>Entire Workspace Environment &amp; Security Metadata</w:t>
            </w:r>
          </w:p>
        </w:tc>
        <w:tc>
          <w:tcPr>
            <w:tcW w:type="dxa" w:w="2340"/>
            <w:shd w:fill="FFFFFF"/>
          </w:tcPr>
          <w:p>
            <w:pPr>
              <w:jc w:val="left"/>
            </w:pPr>
            <w:r>
              <w:rPr>
                <w:rFonts w:ascii="Calibri" w:hAnsi="Calibri"/>
                <w:b w:val="0"/>
                <w:color w:val="1E293B"/>
                <w:sz w:val="17"/>
              </w:rPr>
              <w:t>User provisioning, security role assignment, dataset gateway configuration, and audit compliance.</w:t>
            </w:r>
          </w:p>
        </w:tc>
      </w:tr>
    </w:tbl>
    <w:p>
      <w:pPr>
        <w:spacing w:after="80"/>
      </w:pPr>
    </w:p>
    <w:p>
      <w:pPr>
        <w:spacing w:after="80" w:before="280" w:line="276" w:lineRule="auto"/>
        <w:pBdr>
          <w:bottom w:val="single" w:sz="8" w:space="4" w:color="2563EB"/>
        </w:pBdr>
      </w:pPr>
      <w:r>
        <w:rPr>
          <w:rFonts w:ascii="Calibri" w:hAnsi="Calibri"/>
          <w:b/>
          <w:i w:val="0"/>
          <w:color w:val="1A2B4C"/>
          <w:sz w:val="29"/>
        </w:rPr>
        <w:t>4. Authentication Analysis &amp; Identity Verification (Part B)</w:t>
      </w:r>
    </w:p>
    <w:p>
      <w:pPr>
        <w:spacing w:after="100" w:line="276" w:lineRule="auto"/>
      </w:pPr>
      <w:r>
        <w:rPr>
          <w:rFonts w:ascii="Calibri" w:hAnsi="Calibri"/>
          <w:color w:val="1E293B"/>
          <w:sz w:val="21"/>
        </w:rPr>
        <w:t>Authentication validates the verified identity of a user prior to granting entry to the BI tenant. In Microsoft Power BI Service, identity verification is managed through Microsoft Entra ID (formerly Azure Active Directory). Table 9.2 evaluates three distinct authentication methods across usability, enterprise scalability, and security posture.</w:t>
      </w:r>
    </w:p>
    <w:tbl>
      <w:tblPr>
        <w:tblW w:type="auto" w:w="0"/>
        <w:jc w:val="center"/>
        <w:tblLook w:firstColumn="1" w:firstRow="1" w:lastColumn="0" w:lastRow="0" w:noHBand="0" w:noVBand="1" w:val="04A0"/>
      </w:tblPr>
      <w:tblGrid>
        <w:gridCol w:w="2340"/>
        <w:gridCol w:w="2340"/>
        <w:gridCol w:w="2340"/>
        <w:gridCol w:w="2340"/>
      </w:tblGrid>
      <w:tr>
        <w:tc>
          <w:tcPr>
            <w:tcW w:type="dxa" w:w="2340"/>
            <w:shd w:fill="1A2B4C"/>
          </w:tcPr>
          <w:p>
            <w:pPr>
              <w:jc w:val="center"/>
            </w:pPr>
            <w:r>
              <w:rPr>
                <w:rFonts w:ascii="Calibri" w:hAnsi="Calibri"/>
                <w:b/>
                <w:color w:val="FFFFFF"/>
                <w:sz w:val="19"/>
              </w:rPr>
              <w:t>Authentication Method</w:t>
            </w:r>
          </w:p>
        </w:tc>
        <w:tc>
          <w:tcPr>
            <w:tcW w:type="dxa" w:w="2340"/>
            <w:shd w:fill="1A2B4C"/>
          </w:tcPr>
          <w:p>
            <w:pPr>
              <w:jc w:val="center"/>
            </w:pPr>
            <w:r>
              <w:rPr>
                <w:rFonts w:ascii="Calibri" w:hAnsi="Calibri"/>
                <w:b/>
                <w:color w:val="FFFFFF"/>
                <w:sz w:val="19"/>
              </w:rPr>
              <w:t>Implementation Mechanism</w:t>
            </w:r>
          </w:p>
        </w:tc>
        <w:tc>
          <w:tcPr>
            <w:tcW w:type="dxa" w:w="2340"/>
            <w:shd w:fill="1A2B4C"/>
          </w:tcPr>
          <w:p>
            <w:pPr>
              <w:jc w:val="center"/>
            </w:pPr>
            <w:r>
              <w:rPr>
                <w:rFonts w:ascii="Calibri" w:hAnsi="Calibri"/>
                <w:b/>
                <w:color w:val="FFFFFF"/>
                <w:sz w:val="19"/>
              </w:rPr>
              <w:t>Key Benefits / Advantages</w:t>
            </w:r>
          </w:p>
        </w:tc>
        <w:tc>
          <w:tcPr>
            <w:tcW w:type="dxa" w:w="2340"/>
            <w:shd w:fill="1A2B4C"/>
          </w:tcPr>
          <w:p>
            <w:pPr>
              <w:jc w:val="center"/>
            </w:pPr>
            <w:r>
              <w:rPr>
                <w:rFonts w:ascii="Calibri" w:hAnsi="Calibri"/>
                <w:b/>
                <w:color w:val="FFFFFF"/>
                <w:sz w:val="19"/>
              </w:rPr>
              <w:t>Security Considerations &amp; Risks</w:t>
            </w:r>
          </w:p>
        </w:tc>
      </w:tr>
      <w:tr>
        <w:tc>
          <w:tcPr>
            <w:tcW w:type="dxa" w:w="2340"/>
            <w:shd w:fill="F8FAFC"/>
          </w:tcPr>
          <w:p>
            <w:pPr>
              <w:jc w:val="left"/>
            </w:pPr>
            <w:r>
              <w:rPr>
                <w:rFonts w:ascii="Calibri" w:hAnsi="Calibri"/>
                <w:b/>
                <w:color w:val="1E293B"/>
                <w:sz w:val="17"/>
              </w:rPr>
              <w:t>Basic Username / Password</w:t>
            </w:r>
          </w:p>
        </w:tc>
        <w:tc>
          <w:tcPr>
            <w:tcW w:type="dxa" w:w="2340"/>
            <w:shd w:fill="F8FAFC"/>
          </w:tcPr>
          <w:p>
            <w:pPr>
              <w:jc w:val="left"/>
            </w:pPr>
            <w:r>
              <w:rPr>
                <w:rFonts w:ascii="Calibri" w:hAnsi="Calibri"/>
                <w:b w:val="0"/>
                <w:color w:val="1E293B"/>
                <w:sz w:val="17"/>
              </w:rPr>
              <w:t>Local database or basic credential store prompting for username and password string.</w:t>
            </w:r>
          </w:p>
        </w:tc>
        <w:tc>
          <w:tcPr>
            <w:tcW w:type="dxa" w:w="2340"/>
            <w:shd w:fill="F8FAFC"/>
          </w:tcPr>
          <w:p>
            <w:pPr>
              <w:jc w:val="left"/>
            </w:pPr>
            <w:r>
              <w:rPr>
                <w:rFonts w:ascii="Calibri" w:hAnsi="Calibri"/>
                <w:b w:val="0"/>
                <w:color w:val="1E293B"/>
                <w:sz w:val="17"/>
              </w:rPr>
              <w:t>Simple to configure for legacy standalone tools; minimal infrastructure requirements.</w:t>
            </w:r>
          </w:p>
        </w:tc>
        <w:tc>
          <w:tcPr>
            <w:tcW w:type="dxa" w:w="2340"/>
            <w:shd w:fill="F8FAFC"/>
          </w:tcPr>
          <w:p>
            <w:pPr>
              <w:jc w:val="left"/>
            </w:pPr>
            <w:r>
              <w:rPr>
                <w:rFonts w:ascii="Calibri" w:hAnsi="Calibri"/>
                <w:b w:val="0"/>
                <w:color w:val="1E293B"/>
                <w:sz w:val="17"/>
              </w:rPr>
              <w:t>Extremely vulnerable to brute-force attacks, credential stuffing, phishing, and lack of centralized password lifecycle policies.</w:t>
            </w:r>
          </w:p>
        </w:tc>
      </w:tr>
      <w:tr>
        <w:tc>
          <w:tcPr>
            <w:tcW w:type="dxa" w:w="2340"/>
            <w:shd w:fill="FFFFFF"/>
          </w:tcPr>
          <w:p>
            <w:pPr>
              <w:jc w:val="left"/>
            </w:pPr>
            <w:r>
              <w:rPr>
                <w:rFonts w:ascii="Calibri" w:hAnsi="Calibri"/>
                <w:b/>
                <w:color w:val="1E293B"/>
                <w:sz w:val="17"/>
              </w:rPr>
              <w:t>Organizational Account (Azure AD / Entra ID)</w:t>
            </w:r>
          </w:p>
        </w:tc>
        <w:tc>
          <w:tcPr>
            <w:tcW w:type="dxa" w:w="2340"/>
            <w:shd w:fill="FFFFFF"/>
          </w:tcPr>
          <w:p>
            <w:pPr>
              <w:jc w:val="left"/>
            </w:pPr>
            <w:r>
              <w:rPr>
                <w:rFonts w:ascii="Calibri" w:hAnsi="Calibri"/>
                <w:b w:val="0"/>
                <w:color w:val="1E293B"/>
                <w:sz w:val="17"/>
              </w:rPr>
              <w:t>Centralized corporate Single Sign-On (SSO) using federated identity (SAML, OAuth 2.0).</w:t>
            </w:r>
          </w:p>
        </w:tc>
        <w:tc>
          <w:tcPr>
            <w:tcW w:type="dxa" w:w="2340"/>
            <w:shd w:fill="FFFFFF"/>
          </w:tcPr>
          <w:p>
            <w:pPr>
              <w:jc w:val="left"/>
            </w:pPr>
            <w:r>
              <w:rPr>
                <w:rFonts w:ascii="Calibri" w:hAnsi="Calibri"/>
                <w:b w:val="0"/>
                <w:color w:val="1E293B"/>
                <w:sz w:val="17"/>
              </w:rPr>
              <w:t>Seamless access across Microsoft 365 / Power BI; instant account de-provisioning on termination; centralized governance.</w:t>
            </w:r>
          </w:p>
        </w:tc>
        <w:tc>
          <w:tcPr>
            <w:tcW w:type="dxa" w:w="2340"/>
            <w:shd w:fill="FFFFFF"/>
          </w:tcPr>
          <w:p>
            <w:pPr>
              <w:jc w:val="left"/>
            </w:pPr>
            <w:r>
              <w:rPr>
                <w:rFonts w:ascii="Calibri" w:hAnsi="Calibri"/>
                <w:b w:val="0"/>
                <w:color w:val="1E293B"/>
                <w:sz w:val="17"/>
              </w:rPr>
              <w:t>Requires cloud directory infrastructure; single point of compromise if identity layer is breached without additional verification layers.</w:t>
            </w:r>
          </w:p>
        </w:tc>
      </w:tr>
      <w:tr>
        <w:tc>
          <w:tcPr>
            <w:tcW w:type="dxa" w:w="2340"/>
            <w:shd w:fill="F8FAFC"/>
          </w:tcPr>
          <w:p>
            <w:pPr>
              <w:jc w:val="left"/>
            </w:pPr>
            <w:r>
              <w:rPr>
                <w:rFonts w:ascii="Calibri" w:hAnsi="Calibri"/>
                <w:b/>
                <w:color w:val="1E293B"/>
                <w:sz w:val="17"/>
              </w:rPr>
              <w:t>Multi-Factor Authentication (MFA)</w:t>
            </w:r>
          </w:p>
        </w:tc>
        <w:tc>
          <w:tcPr>
            <w:tcW w:type="dxa" w:w="2340"/>
            <w:shd w:fill="F8FAFC"/>
          </w:tcPr>
          <w:p>
            <w:pPr>
              <w:jc w:val="left"/>
            </w:pPr>
            <w:r>
              <w:rPr>
                <w:rFonts w:ascii="Calibri" w:hAnsi="Calibri"/>
                <w:b w:val="0"/>
                <w:color w:val="1E293B"/>
                <w:sz w:val="17"/>
              </w:rPr>
              <w:t>Requires 2+ independent verification factors (Password + Authenticator App / FIDO2 Token / SMS).</w:t>
            </w:r>
          </w:p>
        </w:tc>
        <w:tc>
          <w:tcPr>
            <w:tcW w:type="dxa" w:w="2340"/>
            <w:shd w:fill="F8FAFC"/>
          </w:tcPr>
          <w:p>
            <w:pPr>
              <w:jc w:val="left"/>
            </w:pPr>
            <w:r>
              <w:rPr>
                <w:rFonts w:ascii="Calibri" w:hAnsi="Calibri"/>
                <w:b w:val="0"/>
                <w:color w:val="1E293B"/>
                <w:sz w:val="17"/>
              </w:rPr>
              <w:t>Eliminates &gt;99.9% of credential-based attacks; ensures compliance with ISO 27001 / SOC 2; protects sensitive financial BI.</w:t>
            </w:r>
          </w:p>
        </w:tc>
        <w:tc>
          <w:tcPr>
            <w:tcW w:type="dxa" w:w="2340"/>
            <w:shd w:fill="F8FAFC"/>
          </w:tcPr>
          <w:p>
            <w:pPr>
              <w:jc w:val="left"/>
            </w:pPr>
            <w:r>
              <w:rPr>
                <w:rFonts w:ascii="Calibri" w:hAnsi="Calibri"/>
                <w:b w:val="0"/>
                <w:color w:val="1E293B"/>
                <w:sz w:val="17"/>
              </w:rPr>
              <w:t>Minor user friction during sign-in; requires fallback enrollment for device loss; slightly higher initial setup complexity.</w:t>
            </w:r>
          </w:p>
        </w:tc>
      </w:tr>
    </w:tbl>
    <w:p>
      <w:pPr>
        <w:spacing w:after="80"/>
      </w:pPr>
    </w:p>
    <w:p>
      <w:pPr>
        <w:spacing w:after="60" w:before="160" w:line="276" w:lineRule="auto"/>
      </w:pPr>
      <w:r>
        <w:rPr>
          <w:rFonts w:ascii="Calibri" w:hAnsi="Calibri"/>
          <w:b/>
          <w:i w:val="0"/>
          <w:color w:val="1A2B4C"/>
          <w:sz w:val="24"/>
        </w:rPr>
        <w:t>Advantages of Multi-Factor Authentication (MFA) in BI Environments</w:t>
      </w:r>
    </w:p>
    <w:p>
      <w:pPr>
        <w:spacing w:after="100" w:line="276" w:lineRule="auto"/>
      </w:pPr>
      <w:r>
        <w:rPr>
          <w:rFonts w:ascii="Calibri" w:hAnsi="Calibri"/>
          <w:color w:val="1E293B"/>
          <w:sz w:val="21"/>
        </w:rPr>
        <w:t>Modern BI systems contain aggregated financial data, pricing contracts, and confidential customer lists. Mandating MFA prevents credential stuffing, session hijacking, and brute-force penetration by requiring a second physical or cryptographic token (e.g., Microsoft Authenticator app push or FIDO2 hardware key). This reduces unauthorized access risk by over 99%.</w:t>
      </w:r>
    </w:p>
    <w:p>
      <w:pPr>
        <w:spacing w:after="80" w:before="280" w:line="276" w:lineRule="auto"/>
        <w:pBdr>
          <w:bottom w:val="single" w:sz="8" w:space="4" w:color="2563EB"/>
        </w:pBdr>
      </w:pPr>
      <w:r>
        <w:rPr>
          <w:rFonts w:ascii="Calibri" w:hAnsi="Calibri"/>
          <w:b/>
          <w:i w:val="0"/>
          <w:color w:val="1A2B4C"/>
          <w:sz w:val="29"/>
        </w:rPr>
        <w:t>5. Authorization &amp; Access Control Design (Part C)</w:t>
      </w:r>
    </w:p>
    <w:p>
      <w:pPr>
        <w:spacing w:after="100" w:line="276" w:lineRule="auto"/>
      </w:pPr>
      <w:r>
        <w:rPr>
          <w:rFonts w:ascii="Calibri" w:hAnsi="Calibri"/>
          <w:color w:val="1E293B"/>
          <w:sz w:val="21"/>
        </w:rPr>
        <w:t>Authorization determines what an authenticated user is permitted to do. Power BI Service provides four core workspace roles: Admin, Member, Contributor, and Viewer. Table 9.3 maps organizational roles to these security permissions, strictly enforcing least privilege.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A2B4C"/>
          </w:tcPr>
          <w:p>
            <w:pPr>
              <w:jc w:val="center"/>
            </w:pPr>
            <w:r>
              <w:rPr>
                <w:rFonts w:ascii="Calibri" w:hAnsi="Calibri"/>
                <w:b/>
                <w:color w:val="FFFFFF"/>
                <w:sz w:val="19"/>
              </w:rPr>
              <w:t>User Role</w:t>
            </w:r>
          </w:p>
        </w:tc>
        <w:tc>
          <w:tcPr>
            <w:tcW w:type="dxa" w:w="1337"/>
            <w:shd w:fill="1A2B4C"/>
          </w:tcPr>
          <w:p>
            <w:pPr>
              <w:jc w:val="center"/>
            </w:pPr>
            <w:r>
              <w:rPr>
                <w:rFonts w:ascii="Calibri" w:hAnsi="Calibri"/>
                <w:b/>
                <w:color w:val="FFFFFF"/>
                <w:sz w:val="19"/>
              </w:rPr>
              <w:t>View</w:t>
            </w:r>
          </w:p>
        </w:tc>
        <w:tc>
          <w:tcPr>
            <w:tcW w:type="dxa" w:w="1337"/>
            <w:shd w:fill="1A2B4C"/>
          </w:tcPr>
          <w:p>
            <w:pPr>
              <w:jc w:val="center"/>
            </w:pPr>
            <w:r>
              <w:rPr>
                <w:rFonts w:ascii="Calibri" w:hAnsi="Calibri"/>
                <w:b/>
                <w:color w:val="FFFFFF"/>
                <w:sz w:val="19"/>
              </w:rPr>
              <w:t>Edit</w:t>
            </w:r>
          </w:p>
        </w:tc>
        <w:tc>
          <w:tcPr>
            <w:tcW w:type="dxa" w:w="1337"/>
            <w:shd w:fill="1A2B4C"/>
          </w:tcPr>
          <w:p>
            <w:pPr>
              <w:jc w:val="center"/>
            </w:pPr>
            <w:r>
              <w:rPr>
                <w:rFonts w:ascii="Calibri" w:hAnsi="Calibri"/>
                <w:b/>
                <w:color w:val="FFFFFF"/>
                <w:sz w:val="19"/>
              </w:rPr>
              <w:t>Share</w:t>
            </w:r>
          </w:p>
        </w:tc>
        <w:tc>
          <w:tcPr>
            <w:tcW w:type="dxa" w:w="1337"/>
            <w:shd w:fill="1A2B4C"/>
          </w:tcPr>
          <w:p>
            <w:pPr>
              <w:jc w:val="center"/>
            </w:pPr>
            <w:r>
              <w:rPr>
                <w:rFonts w:ascii="Calibri" w:hAnsi="Calibri"/>
                <w:b/>
                <w:color w:val="FFFFFF"/>
                <w:sz w:val="19"/>
              </w:rPr>
              <w:t>Admin</w:t>
            </w:r>
          </w:p>
        </w:tc>
        <w:tc>
          <w:tcPr>
            <w:tcW w:type="dxa" w:w="1337"/>
            <w:shd w:fill="1A2B4C"/>
          </w:tcPr>
          <w:p>
            <w:pPr>
              <w:jc w:val="center"/>
            </w:pPr>
            <w:r>
              <w:rPr>
                <w:rFonts w:ascii="Calibri" w:hAnsi="Calibri"/>
                <w:b/>
                <w:color w:val="FFFFFF"/>
                <w:sz w:val="19"/>
              </w:rPr>
              <w:t>PBI Workspace Role</w:t>
            </w:r>
          </w:p>
        </w:tc>
        <w:tc>
          <w:tcPr>
            <w:tcW w:type="dxa" w:w="1337"/>
            <w:shd w:fill="1A2B4C"/>
          </w:tcPr>
          <w:p>
            <w:pPr>
              <w:jc w:val="center"/>
            </w:pPr>
            <w:r>
              <w:rPr>
                <w:rFonts w:ascii="Calibri" w:hAnsi="Calibri"/>
                <w:b/>
                <w:color w:val="FFFFFF"/>
                <w:sz w:val="19"/>
              </w:rPr>
              <w:t>Governance Justification</w:t>
            </w:r>
          </w:p>
        </w:tc>
      </w:tr>
      <w:tr>
        <w:tc>
          <w:tcPr>
            <w:tcW w:type="dxa" w:w="1337"/>
            <w:shd w:fill="F8FAFC"/>
          </w:tcPr>
          <w:p>
            <w:pPr>
              <w:jc w:val="left"/>
            </w:pPr>
            <w:r>
              <w:rPr>
                <w:rFonts w:ascii="Calibri" w:hAnsi="Calibri"/>
                <w:b/>
                <w:color w:val="1E293B"/>
                <w:sz w:val="17"/>
              </w:rPr>
              <w:t>CEO / C-Suite</w:t>
            </w:r>
          </w:p>
        </w:tc>
        <w:tc>
          <w:tcPr>
            <w:tcW w:type="dxa" w:w="1337"/>
            <w:shd w:fill="F8FAFC"/>
          </w:tcPr>
          <w:p>
            <w:pPr>
              <w:jc w:val="center"/>
            </w:pPr>
            <w:r>
              <w:rPr>
                <w:rFonts w:ascii="Calibri" w:hAnsi="Calibri"/>
                <w:b w:val="0"/>
                <w:color w:val="1E293B"/>
                <w:sz w:val="17"/>
              </w:rPr>
              <w:t>Yes</w:t>
            </w:r>
          </w:p>
        </w:tc>
        <w:tc>
          <w:tcPr>
            <w:tcW w:type="dxa" w:w="1337"/>
            <w:shd w:fill="F8FAFC"/>
          </w:tcPr>
          <w:p>
            <w:pPr>
              <w:jc w:val="center"/>
            </w:pPr>
            <w:r>
              <w:rPr>
                <w:rFonts w:ascii="Calibri" w:hAnsi="Calibri"/>
                <w:b w:val="0"/>
                <w:color w:val="1E293B"/>
                <w:sz w:val="17"/>
              </w:rPr>
              <w:t>No</w:t>
            </w:r>
          </w:p>
        </w:tc>
        <w:tc>
          <w:tcPr>
            <w:tcW w:type="dxa" w:w="1337"/>
            <w:shd w:fill="F8FAFC"/>
          </w:tcPr>
          <w:p>
            <w:pPr>
              <w:jc w:val="center"/>
            </w:pPr>
            <w:r>
              <w:rPr>
                <w:rFonts w:ascii="Calibri" w:hAnsi="Calibri"/>
                <w:b w:val="0"/>
                <w:color w:val="1E293B"/>
                <w:sz w:val="17"/>
              </w:rPr>
              <w:t>No</w:t>
            </w:r>
          </w:p>
        </w:tc>
        <w:tc>
          <w:tcPr>
            <w:tcW w:type="dxa" w:w="1337"/>
            <w:shd w:fill="F8FAFC"/>
          </w:tcPr>
          <w:p>
            <w:pPr>
              <w:jc w:val="center"/>
            </w:pPr>
            <w:r>
              <w:rPr>
                <w:rFonts w:ascii="Calibri" w:hAnsi="Calibri"/>
                <w:b w:val="0"/>
                <w:color w:val="1E293B"/>
                <w:sz w:val="17"/>
              </w:rPr>
              <w:t>No</w:t>
            </w:r>
          </w:p>
        </w:tc>
        <w:tc>
          <w:tcPr>
            <w:tcW w:type="dxa" w:w="1337"/>
            <w:shd w:fill="F8FAFC"/>
          </w:tcPr>
          <w:p>
            <w:pPr>
              <w:jc w:val="left"/>
            </w:pPr>
            <w:r>
              <w:rPr>
                <w:rFonts w:ascii="Calibri" w:hAnsi="Calibri"/>
                <w:b/>
                <w:color w:val="1E293B"/>
                <w:sz w:val="17"/>
              </w:rPr>
              <w:t>Viewer</w:t>
            </w:r>
          </w:p>
        </w:tc>
        <w:tc>
          <w:tcPr>
            <w:tcW w:type="dxa" w:w="1337"/>
            <w:shd w:fill="F8FAFC"/>
          </w:tcPr>
          <w:p>
            <w:pPr>
              <w:jc w:val="left"/>
            </w:pPr>
            <w:r>
              <w:rPr>
                <w:rFonts w:ascii="Calibri" w:hAnsi="Calibri"/>
                <w:b w:val="0"/>
                <w:color w:val="1E293B"/>
                <w:sz w:val="17"/>
              </w:rPr>
              <w:t>Requires strategic decision consumption only; editing risks accidental formula changes; sharing restricted to maintain confidentiality.</w:t>
            </w:r>
          </w:p>
        </w:tc>
      </w:tr>
      <w:tr>
        <w:tc>
          <w:tcPr>
            <w:tcW w:type="dxa" w:w="1337"/>
            <w:shd w:fill="FFFFFF"/>
          </w:tcPr>
          <w:p>
            <w:pPr>
              <w:jc w:val="left"/>
            </w:pPr>
            <w:r>
              <w:rPr>
                <w:rFonts w:ascii="Calibri" w:hAnsi="Calibri"/>
                <w:b/>
                <w:color w:val="1E293B"/>
                <w:sz w:val="17"/>
              </w:rPr>
              <w:t>Sales Manager</w:t>
            </w:r>
          </w:p>
        </w:tc>
        <w:tc>
          <w:tcPr>
            <w:tcW w:type="dxa" w:w="1337"/>
            <w:shd w:fill="FFFFFF"/>
          </w:tcPr>
          <w:p>
            <w:pPr>
              <w:jc w:val="center"/>
            </w:pPr>
            <w:r>
              <w:rPr>
                <w:rFonts w:ascii="Calibri" w:hAnsi="Calibri"/>
                <w:b w:val="0"/>
                <w:color w:val="1E293B"/>
                <w:sz w:val="17"/>
              </w:rPr>
              <w:t>Yes</w:t>
            </w:r>
          </w:p>
        </w:tc>
        <w:tc>
          <w:tcPr>
            <w:tcW w:type="dxa" w:w="1337"/>
            <w:shd w:fill="FFFFFF"/>
          </w:tcPr>
          <w:p>
            <w:pPr>
              <w:jc w:val="center"/>
            </w:pPr>
            <w:r>
              <w:rPr>
                <w:rFonts w:ascii="Calibri" w:hAnsi="Calibri"/>
                <w:b w:val="0"/>
                <w:color w:val="1E293B"/>
                <w:sz w:val="17"/>
              </w:rPr>
              <w:t>No</w:t>
            </w:r>
          </w:p>
        </w:tc>
        <w:tc>
          <w:tcPr>
            <w:tcW w:type="dxa" w:w="1337"/>
            <w:shd w:fill="FFFFFF"/>
          </w:tcPr>
          <w:p>
            <w:pPr>
              <w:jc w:val="center"/>
            </w:pPr>
            <w:r>
              <w:rPr>
                <w:rFonts w:ascii="Calibri" w:hAnsi="Calibri"/>
                <w:b w:val="0"/>
                <w:color w:val="1E293B"/>
                <w:sz w:val="17"/>
              </w:rPr>
              <w:t>Yes</w:t>
            </w:r>
          </w:p>
        </w:tc>
        <w:tc>
          <w:tcPr>
            <w:tcW w:type="dxa" w:w="1337"/>
            <w:shd w:fill="FFFFFF"/>
          </w:tcPr>
          <w:p>
            <w:pPr>
              <w:jc w:val="center"/>
            </w:pPr>
            <w:r>
              <w:rPr>
                <w:rFonts w:ascii="Calibri" w:hAnsi="Calibri"/>
                <w:b w:val="0"/>
                <w:color w:val="1E293B"/>
                <w:sz w:val="17"/>
              </w:rPr>
              <w:t>No</w:t>
            </w:r>
          </w:p>
        </w:tc>
        <w:tc>
          <w:tcPr>
            <w:tcW w:type="dxa" w:w="1337"/>
            <w:shd w:fill="FFFFFF"/>
          </w:tcPr>
          <w:p>
            <w:pPr>
              <w:jc w:val="left"/>
            </w:pPr>
            <w:r>
              <w:rPr>
                <w:rFonts w:ascii="Calibri" w:hAnsi="Calibri"/>
                <w:b/>
                <w:color w:val="1E293B"/>
                <w:sz w:val="17"/>
              </w:rPr>
              <w:t>Contributor</w:t>
            </w:r>
          </w:p>
        </w:tc>
        <w:tc>
          <w:tcPr>
            <w:tcW w:type="dxa" w:w="1337"/>
            <w:shd w:fill="FFFFFF"/>
          </w:tcPr>
          <w:p>
            <w:pPr>
              <w:jc w:val="left"/>
            </w:pPr>
            <w:r>
              <w:rPr>
                <w:rFonts w:ascii="Calibri" w:hAnsi="Calibri"/>
                <w:b w:val="0"/>
                <w:color w:val="1E293B"/>
                <w:sz w:val="17"/>
              </w:rPr>
              <w:t>Needs viewing and sharing with regional teams; no administrative rights over datasets to preserve governance.</w:t>
            </w:r>
          </w:p>
        </w:tc>
      </w:tr>
      <w:tr>
        <w:tc>
          <w:tcPr>
            <w:tcW w:type="dxa" w:w="1337"/>
            <w:shd w:fill="F8FAFC"/>
          </w:tcPr>
          <w:p>
            <w:pPr>
              <w:jc w:val="left"/>
            </w:pPr>
            <w:r>
              <w:rPr>
                <w:rFonts w:ascii="Calibri" w:hAnsi="Calibri"/>
                <w:b/>
                <w:color w:val="1E293B"/>
                <w:sz w:val="17"/>
              </w:rPr>
              <w:t>Finance Manager</w:t>
            </w:r>
          </w:p>
        </w:tc>
        <w:tc>
          <w:tcPr>
            <w:tcW w:type="dxa" w:w="1337"/>
            <w:shd w:fill="F8FAFC"/>
          </w:tcPr>
          <w:p>
            <w:pPr>
              <w:jc w:val="center"/>
            </w:pPr>
            <w:r>
              <w:rPr>
                <w:rFonts w:ascii="Calibri" w:hAnsi="Calibri"/>
                <w:b w:val="0"/>
                <w:color w:val="1E293B"/>
                <w:sz w:val="17"/>
              </w:rPr>
              <w:t>Yes</w:t>
            </w:r>
          </w:p>
        </w:tc>
        <w:tc>
          <w:tcPr>
            <w:tcW w:type="dxa" w:w="1337"/>
            <w:shd w:fill="F8FAFC"/>
          </w:tcPr>
          <w:p>
            <w:pPr>
              <w:jc w:val="center"/>
            </w:pPr>
            <w:r>
              <w:rPr>
                <w:rFonts w:ascii="Calibri" w:hAnsi="Calibri"/>
                <w:b w:val="0"/>
                <w:color w:val="1E293B"/>
                <w:sz w:val="17"/>
              </w:rPr>
              <w:t>No</w:t>
            </w:r>
          </w:p>
        </w:tc>
        <w:tc>
          <w:tcPr>
            <w:tcW w:type="dxa" w:w="1337"/>
            <w:shd w:fill="F8FAFC"/>
          </w:tcPr>
          <w:p>
            <w:pPr>
              <w:jc w:val="center"/>
            </w:pPr>
            <w:r>
              <w:rPr>
                <w:rFonts w:ascii="Calibri" w:hAnsi="Calibri"/>
                <w:b w:val="0"/>
                <w:color w:val="1E293B"/>
                <w:sz w:val="17"/>
              </w:rPr>
              <w:t>Yes</w:t>
            </w:r>
          </w:p>
        </w:tc>
        <w:tc>
          <w:tcPr>
            <w:tcW w:type="dxa" w:w="1337"/>
            <w:shd w:fill="F8FAFC"/>
          </w:tcPr>
          <w:p>
            <w:pPr>
              <w:jc w:val="center"/>
            </w:pPr>
            <w:r>
              <w:rPr>
                <w:rFonts w:ascii="Calibri" w:hAnsi="Calibri"/>
                <w:b w:val="0"/>
                <w:color w:val="1E293B"/>
                <w:sz w:val="17"/>
              </w:rPr>
              <w:t>No</w:t>
            </w:r>
          </w:p>
        </w:tc>
        <w:tc>
          <w:tcPr>
            <w:tcW w:type="dxa" w:w="1337"/>
            <w:shd w:fill="F8FAFC"/>
          </w:tcPr>
          <w:p>
            <w:pPr>
              <w:jc w:val="left"/>
            </w:pPr>
            <w:r>
              <w:rPr>
                <w:rFonts w:ascii="Calibri" w:hAnsi="Calibri"/>
                <w:b/>
                <w:color w:val="1E293B"/>
                <w:sz w:val="17"/>
              </w:rPr>
              <w:t>Contributor</w:t>
            </w:r>
          </w:p>
        </w:tc>
        <w:tc>
          <w:tcPr>
            <w:tcW w:type="dxa" w:w="1337"/>
            <w:shd w:fill="F8FAFC"/>
          </w:tcPr>
          <w:p>
            <w:pPr>
              <w:jc w:val="left"/>
            </w:pPr>
            <w:r>
              <w:rPr>
                <w:rFonts w:ascii="Calibri" w:hAnsi="Calibri"/>
                <w:b w:val="0"/>
                <w:color w:val="1E293B"/>
                <w:sz w:val="17"/>
              </w:rPr>
              <w:t>Requires deep analytical access and report sharing with financial audit leads; cannot edit underlying data models.</w:t>
            </w:r>
          </w:p>
        </w:tc>
      </w:tr>
      <w:tr>
        <w:tc>
          <w:tcPr>
            <w:tcW w:type="dxa" w:w="1337"/>
            <w:shd w:fill="FFFFFF"/>
          </w:tcPr>
          <w:p>
            <w:pPr>
              <w:jc w:val="left"/>
            </w:pPr>
            <w:r>
              <w:rPr>
                <w:rFonts w:ascii="Calibri" w:hAnsi="Calibri"/>
                <w:b/>
                <w:color w:val="1E293B"/>
                <w:sz w:val="17"/>
              </w:rPr>
              <w:t>Regional Sales Manager</w:t>
            </w:r>
          </w:p>
        </w:tc>
        <w:tc>
          <w:tcPr>
            <w:tcW w:type="dxa" w:w="1337"/>
            <w:shd w:fill="FFFFFF"/>
          </w:tcPr>
          <w:p>
            <w:pPr>
              <w:jc w:val="center"/>
            </w:pPr>
            <w:r>
              <w:rPr>
                <w:rFonts w:ascii="Calibri" w:hAnsi="Calibri"/>
                <w:b w:val="0"/>
                <w:color w:val="1E293B"/>
                <w:sz w:val="17"/>
              </w:rPr>
              <w:t>Yes</w:t>
            </w:r>
          </w:p>
        </w:tc>
        <w:tc>
          <w:tcPr>
            <w:tcW w:type="dxa" w:w="1337"/>
            <w:shd w:fill="FFFFFF"/>
          </w:tcPr>
          <w:p>
            <w:pPr>
              <w:jc w:val="center"/>
            </w:pPr>
            <w:r>
              <w:rPr>
                <w:rFonts w:ascii="Calibri" w:hAnsi="Calibri"/>
                <w:b w:val="0"/>
                <w:color w:val="1E293B"/>
                <w:sz w:val="17"/>
              </w:rPr>
              <w:t>No</w:t>
            </w:r>
          </w:p>
        </w:tc>
        <w:tc>
          <w:tcPr>
            <w:tcW w:type="dxa" w:w="1337"/>
            <w:shd w:fill="FFFFFF"/>
          </w:tcPr>
          <w:p>
            <w:pPr>
              <w:jc w:val="center"/>
            </w:pPr>
            <w:r>
              <w:rPr>
                <w:rFonts w:ascii="Calibri" w:hAnsi="Calibri"/>
                <w:b w:val="0"/>
                <w:color w:val="1E293B"/>
                <w:sz w:val="17"/>
              </w:rPr>
              <w:t>No</w:t>
            </w:r>
          </w:p>
        </w:tc>
        <w:tc>
          <w:tcPr>
            <w:tcW w:type="dxa" w:w="1337"/>
            <w:shd w:fill="FFFFFF"/>
          </w:tcPr>
          <w:p>
            <w:pPr>
              <w:jc w:val="center"/>
            </w:pPr>
            <w:r>
              <w:rPr>
                <w:rFonts w:ascii="Calibri" w:hAnsi="Calibri"/>
                <w:b w:val="0"/>
                <w:color w:val="1E293B"/>
                <w:sz w:val="17"/>
              </w:rPr>
              <w:t>No</w:t>
            </w:r>
          </w:p>
        </w:tc>
        <w:tc>
          <w:tcPr>
            <w:tcW w:type="dxa" w:w="1337"/>
            <w:shd w:fill="FFFFFF"/>
          </w:tcPr>
          <w:p>
            <w:pPr>
              <w:jc w:val="left"/>
            </w:pPr>
            <w:r>
              <w:rPr>
                <w:rFonts w:ascii="Calibri" w:hAnsi="Calibri"/>
                <w:b/>
                <w:color w:val="1E293B"/>
                <w:sz w:val="17"/>
              </w:rPr>
              <w:t>Viewer (RLS Filtered)</w:t>
            </w:r>
          </w:p>
        </w:tc>
        <w:tc>
          <w:tcPr>
            <w:tcW w:type="dxa" w:w="1337"/>
            <w:shd w:fill="FFFFFF"/>
          </w:tcPr>
          <w:p>
            <w:pPr>
              <w:jc w:val="left"/>
            </w:pPr>
            <w:r>
              <w:rPr>
                <w:rFonts w:ascii="Calibri" w:hAnsi="Calibri"/>
                <w:b w:val="0"/>
                <w:color w:val="1E293B"/>
                <w:sz w:val="17"/>
              </w:rPr>
              <w:t>Strictly limited to view assigned regional data; cannot re-share externally or view cross-region financials.</w:t>
            </w:r>
          </w:p>
        </w:tc>
      </w:tr>
      <w:tr>
        <w:tc>
          <w:tcPr>
            <w:tcW w:type="dxa" w:w="1337"/>
            <w:shd w:fill="F8FAFC"/>
          </w:tcPr>
          <w:p>
            <w:pPr>
              <w:jc w:val="left"/>
            </w:pPr>
            <w:r>
              <w:rPr>
                <w:rFonts w:ascii="Calibri" w:hAnsi="Calibri"/>
                <w:b/>
                <w:color w:val="1E293B"/>
                <w:sz w:val="17"/>
              </w:rPr>
              <w:t>BI Report Author</w:t>
            </w:r>
          </w:p>
        </w:tc>
        <w:tc>
          <w:tcPr>
            <w:tcW w:type="dxa" w:w="1337"/>
            <w:shd w:fill="F8FAFC"/>
          </w:tcPr>
          <w:p>
            <w:pPr>
              <w:jc w:val="center"/>
            </w:pPr>
            <w:r>
              <w:rPr>
                <w:rFonts w:ascii="Calibri" w:hAnsi="Calibri"/>
                <w:b w:val="0"/>
                <w:color w:val="1E293B"/>
                <w:sz w:val="17"/>
              </w:rPr>
              <w:t>Yes</w:t>
            </w:r>
          </w:p>
        </w:tc>
        <w:tc>
          <w:tcPr>
            <w:tcW w:type="dxa" w:w="1337"/>
            <w:shd w:fill="F8FAFC"/>
          </w:tcPr>
          <w:p>
            <w:pPr>
              <w:jc w:val="center"/>
            </w:pPr>
            <w:r>
              <w:rPr>
                <w:rFonts w:ascii="Calibri" w:hAnsi="Calibri"/>
                <w:b w:val="0"/>
                <w:color w:val="1E293B"/>
                <w:sz w:val="17"/>
              </w:rPr>
              <w:t>Yes</w:t>
            </w:r>
          </w:p>
        </w:tc>
        <w:tc>
          <w:tcPr>
            <w:tcW w:type="dxa" w:w="1337"/>
            <w:shd w:fill="F8FAFC"/>
          </w:tcPr>
          <w:p>
            <w:pPr>
              <w:jc w:val="center"/>
            </w:pPr>
            <w:r>
              <w:rPr>
                <w:rFonts w:ascii="Calibri" w:hAnsi="Calibri"/>
                <w:b w:val="0"/>
                <w:color w:val="1E293B"/>
                <w:sz w:val="17"/>
              </w:rPr>
              <w:t>Yes</w:t>
            </w:r>
          </w:p>
        </w:tc>
        <w:tc>
          <w:tcPr>
            <w:tcW w:type="dxa" w:w="1337"/>
            <w:shd w:fill="F8FAFC"/>
          </w:tcPr>
          <w:p>
            <w:pPr>
              <w:jc w:val="center"/>
            </w:pPr>
            <w:r>
              <w:rPr>
                <w:rFonts w:ascii="Calibri" w:hAnsi="Calibri"/>
                <w:b w:val="0"/>
                <w:color w:val="1E293B"/>
                <w:sz w:val="17"/>
              </w:rPr>
              <w:t>No</w:t>
            </w:r>
          </w:p>
        </w:tc>
        <w:tc>
          <w:tcPr>
            <w:tcW w:type="dxa" w:w="1337"/>
            <w:shd w:fill="F8FAFC"/>
          </w:tcPr>
          <w:p>
            <w:pPr>
              <w:jc w:val="left"/>
            </w:pPr>
            <w:r>
              <w:rPr>
                <w:rFonts w:ascii="Calibri" w:hAnsi="Calibri"/>
                <w:b/>
                <w:color w:val="1E293B"/>
                <w:sz w:val="17"/>
              </w:rPr>
              <w:t>Member</w:t>
            </w:r>
          </w:p>
        </w:tc>
        <w:tc>
          <w:tcPr>
            <w:tcW w:type="dxa" w:w="1337"/>
            <w:shd w:fill="F8FAFC"/>
          </w:tcPr>
          <w:p>
            <w:pPr>
              <w:jc w:val="left"/>
            </w:pPr>
            <w:r>
              <w:rPr>
                <w:rFonts w:ascii="Calibri" w:hAnsi="Calibri"/>
                <w:b w:val="0"/>
                <w:color w:val="1E293B"/>
                <w:sz w:val="17"/>
              </w:rPr>
              <w:t>Requires authoring and visual layout creation; permitted to publish and share with testing cohorts; no workspace deletion rights.</w:t>
            </w:r>
          </w:p>
        </w:tc>
      </w:tr>
      <w:tr>
        <w:tc>
          <w:tcPr>
            <w:tcW w:type="dxa" w:w="1337"/>
            <w:shd w:fill="FFFFFF"/>
          </w:tcPr>
          <w:p>
            <w:pPr>
              <w:jc w:val="left"/>
            </w:pPr>
            <w:r>
              <w:rPr>
                <w:rFonts w:ascii="Calibri" w:hAnsi="Calibri"/>
                <w:b/>
                <w:color w:val="1E293B"/>
                <w:sz w:val="17"/>
              </w:rPr>
              <w:t>BI Workspace Admin</w:t>
            </w:r>
          </w:p>
        </w:tc>
        <w:tc>
          <w:tcPr>
            <w:tcW w:type="dxa" w:w="1337"/>
            <w:shd w:fill="FFFFFF"/>
          </w:tcPr>
          <w:p>
            <w:pPr>
              <w:jc w:val="center"/>
            </w:pPr>
            <w:r>
              <w:rPr>
                <w:rFonts w:ascii="Calibri" w:hAnsi="Calibri"/>
                <w:b w:val="0"/>
                <w:color w:val="1E293B"/>
                <w:sz w:val="17"/>
              </w:rPr>
              <w:t>Yes</w:t>
            </w:r>
          </w:p>
        </w:tc>
        <w:tc>
          <w:tcPr>
            <w:tcW w:type="dxa" w:w="1337"/>
            <w:shd w:fill="FFFFFF"/>
          </w:tcPr>
          <w:p>
            <w:pPr>
              <w:jc w:val="center"/>
            </w:pPr>
            <w:r>
              <w:rPr>
                <w:rFonts w:ascii="Calibri" w:hAnsi="Calibri"/>
                <w:b w:val="0"/>
                <w:color w:val="1E293B"/>
                <w:sz w:val="17"/>
              </w:rPr>
              <w:t>Yes</w:t>
            </w:r>
          </w:p>
        </w:tc>
        <w:tc>
          <w:tcPr>
            <w:tcW w:type="dxa" w:w="1337"/>
            <w:shd w:fill="FFFFFF"/>
          </w:tcPr>
          <w:p>
            <w:pPr>
              <w:jc w:val="center"/>
            </w:pPr>
            <w:r>
              <w:rPr>
                <w:rFonts w:ascii="Calibri" w:hAnsi="Calibri"/>
                <w:b w:val="0"/>
                <w:color w:val="1E293B"/>
                <w:sz w:val="17"/>
              </w:rPr>
              <w:t>Yes</w:t>
            </w:r>
          </w:p>
        </w:tc>
        <w:tc>
          <w:tcPr>
            <w:tcW w:type="dxa" w:w="1337"/>
            <w:shd w:fill="FFFFFF"/>
          </w:tcPr>
          <w:p>
            <w:pPr>
              <w:jc w:val="center"/>
            </w:pPr>
            <w:r>
              <w:rPr>
                <w:rFonts w:ascii="Calibri" w:hAnsi="Calibri"/>
                <w:b w:val="0"/>
                <w:color w:val="1E293B"/>
                <w:sz w:val="17"/>
              </w:rPr>
              <w:t>Yes</w:t>
            </w:r>
          </w:p>
        </w:tc>
        <w:tc>
          <w:tcPr>
            <w:tcW w:type="dxa" w:w="1337"/>
            <w:shd w:fill="FFFFFF"/>
          </w:tcPr>
          <w:p>
            <w:pPr>
              <w:jc w:val="left"/>
            </w:pPr>
            <w:r>
              <w:rPr>
                <w:rFonts w:ascii="Calibri" w:hAnsi="Calibri"/>
                <w:b/>
                <w:color w:val="1E293B"/>
                <w:sz w:val="17"/>
              </w:rPr>
              <w:t>Admin</w:t>
            </w:r>
          </w:p>
        </w:tc>
        <w:tc>
          <w:tcPr>
            <w:tcW w:type="dxa" w:w="1337"/>
            <w:shd w:fill="FFFFFF"/>
          </w:tcPr>
          <w:p>
            <w:pPr>
              <w:jc w:val="left"/>
            </w:pPr>
            <w:r>
              <w:rPr>
                <w:rFonts w:ascii="Calibri" w:hAnsi="Calibri"/>
                <w:b w:val="0"/>
                <w:color w:val="1E293B"/>
                <w:sz w:val="17"/>
              </w:rPr>
              <w:t>Responsible for workspace lifecycle, gateway connectivity, user role provisioning, and audit oversight.</w:t>
            </w:r>
          </w:p>
        </w:tc>
      </w:tr>
    </w:tbl>
    <w:p>
      <w:pPr>
        <w:spacing w:after="80"/>
      </w:pPr>
    </w:p>
    <w:p>
      <w:pPr>
        <w:spacing w:after="80" w:before="280" w:line="276" w:lineRule="auto"/>
        <w:pBdr>
          <w:bottom w:val="single" w:sz="8" w:space="4" w:color="2563EB"/>
        </w:pBdr>
      </w:pPr>
      <w:r>
        <w:rPr>
          <w:rFonts w:ascii="Calibri" w:hAnsi="Calibri"/>
          <w:b/>
          <w:i w:val="0"/>
          <w:color w:val="1A2B4C"/>
          <w:sz w:val="29"/>
        </w:rPr>
        <w:t>6. Row-Level Security (RLS) Planning &amp; DAX Design (Part D)</w:t>
      </w:r>
    </w:p>
    <w:p>
      <w:pPr>
        <w:spacing w:after="100" w:line="276" w:lineRule="auto"/>
      </w:pPr>
      <w:r>
        <w:rPr>
          <w:rFonts w:ascii="Calibri" w:hAnsi="Calibri"/>
          <w:color w:val="1E293B"/>
          <w:sz w:val="21"/>
        </w:rPr>
        <w:t>Row-Level Security (RLS) restricts data access at the row level based on the identity of the current user. In Global Superstore, while executive leaders require consolidated global visibility, regional managers must only view records pertaining to their territories. Figure 9.2 demonstrates the geographic revenue distribution whose branches are isolated using DAX security filters.</w:t>
      </w:r>
    </w:p>
    <w:p>
      <w:pPr>
        <w:spacing w:before="160" w:after="40"/>
        <w:jc w:val="center"/>
      </w:pPr>
      <w:r>
        <w:drawing>
          <wp:inline xmlns:a="http://schemas.openxmlformats.org/drawingml/2006/main" xmlns:pic="http://schemas.openxmlformats.org/drawingml/2006/picture">
            <wp:extent cx="5120640" cy="1599896"/>
            <wp:docPr id="2" name="Picture 2"/>
            <wp:cNvGraphicFramePr>
              <a:graphicFrameLocks noChangeAspect="1"/>
            </wp:cNvGraphicFramePr>
            <a:graphic>
              <a:graphicData uri="http://schemas.openxmlformats.org/drawingml/2006/picture">
                <pic:pic>
                  <pic:nvPicPr>
                    <pic:cNvPr id="0" name="input_file_0.png"/>
                    <pic:cNvPicPr/>
                  </pic:nvPicPr>
                  <pic:blipFill>
                    <a:blip r:embed="rId10"/>
                    <a:stretch>
                      <a:fillRect/>
                    </a:stretch>
                  </pic:blipFill>
                  <pic:spPr>
                    <a:xfrm>
                      <a:off x="0" y="0"/>
                      <a:ext cx="5120640" cy="1599896"/>
                    </a:xfrm>
                    <a:prstGeom prst="rect"/>
                  </pic:spPr>
                </pic:pic>
              </a:graphicData>
            </a:graphic>
          </wp:inline>
        </w:drawing>
      </w:r>
    </w:p>
    <w:p>
      <w:pPr>
        <w:spacing w:before="0" w:after="200"/>
        <w:jc w:val="center"/>
      </w:pPr>
      <w:r>
        <w:rPr>
          <w:rFonts w:ascii="Calibri" w:hAnsi="Calibri"/>
          <w:b/>
          <w:i/>
          <w:color w:val="64748B"/>
          <w:sz w:val="19"/>
        </w:rPr>
        <w:t>Figure 9.2: Regional Sales Distribution Partitioned via Row-Level Security Rules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2B4C"/>
          </w:tcPr>
          <w:p>
            <w:pPr>
              <w:jc w:val="center"/>
            </w:pPr>
            <w:r>
              <w:rPr>
                <w:rFonts w:ascii="Calibri" w:hAnsi="Calibri"/>
                <w:b/>
                <w:color w:val="FFFFFF"/>
                <w:sz w:val="19"/>
              </w:rPr>
              <w:t>Security Role Name</w:t>
            </w:r>
          </w:p>
        </w:tc>
        <w:tc>
          <w:tcPr>
            <w:tcW w:type="dxa" w:w="1872"/>
            <w:shd w:fill="1A2B4C"/>
          </w:tcPr>
          <w:p>
            <w:pPr>
              <w:jc w:val="center"/>
            </w:pPr>
            <w:r>
              <w:rPr>
                <w:rFonts w:ascii="Calibri" w:hAnsi="Calibri"/>
                <w:b/>
                <w:color w:val="FFFFFF"/>
                <w:sz w:val="19"/>
              </w:rPr>
              <w:t>Target Table</w:t>
            </w:r>
          </w:p>
        </w:tc>
        <w:tc>
          <w:tcPr>
            <w:tcW w:type="dxa" w:w="1872"/>
            <w:shd w:fill="1A2B4C"/>
          </w:tcPr>
          <w:p>
            <w:pPr>
              <w:jc w:val="center"/>
            </w:pPr>
            <w:r>
              <w:rPr>
                <w:rFonts w:ascii="Calibri" w:hAnsi="Calibri"/>
                <w:b/>
                <w:color w:val="FFFFFF"/>
                <w:sz w:val="19"/>
              </w:rPr>
              <w:t>DAX Filter Expression</w:t>
            </w:r>
          </w:p>
        </w:tc>
        <w:tc>
          <w:tcPr>
            <w:tcW w:type="dxa" w:w="1872"/>
            <w:shd w:fill="1A2B4C"/>
          </w:tcPr>
          <w:p>
            <w:pPr>
              <w:jc w:val="center"/>
            </w:pPr>
            <w:r>
              <w:rPr>
                <w:rFonts w:ascii="Calibri" w:hAnsi="Calibri"/>
                <w:b/>
                <w:color w:val="FFFFFF"/>
                <w:sz w:val="19"/>
              </w:rPr>
              <w:t>Permitted Data Scope</w:t>
            </w:r>
          </w:p>
        </w:tc>
        <w:tc>
          <w:tcPr>
            <w:tcW w:type="dxa" w:w="1872"/>
            <w:shd w:fill="1A2B4C"/>
          </w:tcPr>
          <w:p>
            <w:pPr>
              <w:jc w:val="center"/>
            </w:pPr>
            <w:r>
              <w:rPr>
                <w:rFonts w:ascii="Calibri" w:hAnsi="Calibri"/>
                <w:b/>
                <w:color w:val="FFFFFF"/>
                <w:sz w:val="19"/>
              </w:rPr>
              <w:t>Operational Purpose</w:t>
            </w:r>
          </w:p>
        </w:tc>
      </w:tr>
      <w:tr>
        <w:tc>
          <w:tcPr>
            <w:tcW w:type="dxa" w:w="1872"/>
            <w:shd w:fill="F8FAFC"/>
          </w:tcPr>
          <w:p>
            <w:pPr>
              <w:jc w:val="left"/>
            </w:pPr>
            <w:r>
              <w:rPr>
                <w:rFonts w:ascii="Calibri" w:hAnsi="Calibri"/>
                <w:b/>
                <w:color w:val="1E293B"/>
                <w:sz w:val="17"/>
              </w:rPr>
              <w:t>Western_Europe_Manager</w:t>
            </w:r>
          </w:p>
        </w:tc>
        <w:tc>
          <w:tcPr>
            <w:tcW w:type="dxa" w:w="1872"/>
            <w:shd w:fill="F8FAFC"/>
          </w:tcPr>
          <w:p>
            <w:pPr>
              <w:jc w:val="center"/>
            </w:pPr>
            <w:r>
              <w:rPr>
                <w:rFonts w:ascii="Calibri" w:hAnsi="Calibri"/>
                <w:b w:val="0"/>
                <w:color w:val="1E293B"/>
                <w:sz w:val="17"/>
              </w:rPr>
              <w:t>Orders</w:t>
            </w:r>
          </w:p>
        </w:tc>
        <w:tc>
          <w:tcPr>
            <w:tcW w:type="dxa" w:w="1872"/>
            <w:shd w:fill="F8FAFC"/>
          </w:tcPr>
          <w:p>
            <w:pPr>
              <w:jc w:val="left"/>
            </w:pPr>
            <w:r>
              <w:rPr>
                <w:rFonts w:ascii="Calibri" w:hAnsi="Calibri"/>
                <w:b w:val="0"/>
                <w:color w:val="1E293B"/>
                <w:sz w:val="17"/>
              </w:rPr>
              <w:t>[Region] = "Western Europe"</w:t>
            </w:r>
          </w:p>
        </w:tc>
        <w:tc>
          <w:tcPr>
            <w:tcW w:type="dxa" w:w="1872"/>
            <w:shd w:fill="F8FAFC"/>
          </w:tcPr>
          <w:p>
            <w:pPr>
              <w:jc w:val="left"/>
            </w:pPr>
            <w:r>
              <w:rPr>
                <w:rFonts w:ascii="Calibri" w:hAnsi="Calibri"/>
                <w:b w:val="0"/>
                <w:color w:val="1E293B"/>
                <w:sz w:val="17"/>
              </w:rPr>
              <w:t>Western Europe orders only ($1.73M sales baseline)</w:t>
            </w:r>
          </w:p>
        </w:tc>
        <w:tc>
          <w:tcPr>
            <w:tcW w:type="dxa" w:w="1872"/>
            <w:shd w:fill="F8FAFC"/>
          </w:tcPr>
          <w:p>
            <w:pPr>
              <w:jc w:val="left"/>
            </w:pPr>
            <w:r>
              <w:rPr>
                <w:rFonts w:ascii="Calibri" w:hAnsi="Calibri"/>
                <w:b w:val="0"/>
                <w:color w:val="1E293B"/>
                <w:sz w:val="17"/>
              </w:rPr>
              <w:t>Isolates top-performing European territory; shields customer records and pricing from external territories.</w:t>
            </w:r>
          </w:p>
        </w:tc>
      </w:tr>
      <w:tr>
        <w:tc>
          <w:tcPr>
            <w:tcW w:type="dxa" w:w="1872"/>
            <w:shd w:fill="FFFFFF"/>
          </w:tcPr>
          <w:p>
            <w:pPr>
              <w:jc w:val="left"/>
            </w:pPr>
            <w:r>
              <w:rPr>
                <w:rFonts w:ascii="Calibri" w:hAnsi="Calibri"/>
                <w:b/>
                <w:color w:val="1E293B"/>
                <w:sz w:val="17"/>
              </w:rPr>
              <w:t>Central_America_Manager</w:t>
            </w:r>
          </w:p>
        </w:tc>
        <w:tc>
          <w:tcPr>
            <w:tcW w:type="dxa" w:w="1872"/>
            <w:shd w:fill="FFFFFF"/>
          </w:tcPr>
          <w:p>
            <w:pPr>
              <w:jc w:val="center"/>
            </w:pPr>
            <w:r>
              <w:rPr>
                <w:rFonts w:ascii="Calibri" w:hAnsi="Calibri"/>
                <w:b w:val="0"/>
                <w:color w:val="1E293B"/>
                <w:sz w:val="17"/>
              </w:rPr>
              <w:t>Orders</w:t>
            </w:r>
          </w:p>
        </w:tc>
        <w:tc>
          <w:tcPr>
            <w:tcW w:type="dxa" w:w="1872"/>
            <w:shd w:fill="FFFFFF"/>
          </w:tcPr>
          <w:p>
            <w:pPr>
              <w:jc w:val="left"/>
            </w:pPr>
            <w:r>
              <w:rPr>
                <w:rFonts w:ascii="Calibri" w:hAnsi="Calibri"/>
                <w:b w:val="0"/>
                <w:color w:val="1E293B"/>
                <w:sz w:val="17"/>
              </w:rPr>
              <w:t>[Region] = "Central America"</w:t>
            </w:r>
          </w:p>
        </w:tc>
        <w:tc>
          <w:tcPr>
            <w:tcW w:type="dxa" w:w="1872"/>
            <w:shd w:fill="FFFFFF"/>
          </w:tcPr>
          <w:p>
            <w:pPr>
              <w:jc w:val="left"/>
            </w:pPr>
            <w:r>
              <w:rPr>
                <w:rFonts w:ascii="Calibri" w:hAnsi="Calibri"/>
                <w:b w:val="0"/>
                <w:color w:val="1E293B"/>
                <w:sz w:val="17"/>
              </w:rPr>
              <w:t>Central America orders only ($1.22M sales baseline)</w:t>
            </w:r>
          </w:p>
        </w:tc>
        <w:tc>
          <w:tcPr>
            <w:tcW w:type="dxa" w:w="1872"/>
            <w:shd w:fill="FFFFFF"/>
          </w:tcPr>
          <w:p>
            <w:pPr>
              <w:jc w:val="left"/>
            </w:pPr>
            <w:r>
              <w:rPr>
                <w:rFonts w:ascii="Calibri" w:hAnsi="Calibri"/>
                <w:b w:val="0"/>
                <w:color w:val="1E293B"/>
                <w:sz w:val="17"/>
              </w:rPr>
              <w:t>Confines manager visibility to Latin American operations and accounts.</w:t>
            </w:r>
          </w:p>
        </w:tc>
      </w:tr>
      <w:tr>
        <w:tc>
          <w:tcPr>
            <w:tcW w:type="dxa" w:w="1872"/>
            <w:shd w:fill="F8FAFC"/>
          </w:tcPr>
          <w:p>
            <w:pPr>
              <w:jc w:val="left"/>
            </w:pPr>
            <w:r>
              <w:rPr>
                <w:rFonts w:ascii="Calibri" w:hAnsi="Calibri"/>
                <w:b/>
                <w:color w:val="1E293B"/>
                <w:sz w:val="17"/>
              </w:rPr>
              <w:t>Oceania_Manager</w:t>
            </w:r>
          </w:p>
        </w:tc>
        <w:tc>
          <w:tcPr>
            <w:tcW w:type="dxa" w:w="1872"/>
            <w:shd w:fill="F8FAFC"/>
          </w:tcPr>
          <w:p>
            <w:pPr>
              <w:jc w:val="center"/>
            </w:pPr>
            <w:r>
              <w:rPr>
                <w:rFonts w:ascii="Calibri" w:hAnsi="Calibri"/>
                <w:b w:val="0"/>
                <w:color w:val="1E293B"/>
                <w:sz w:val="17"/>
              </w:rPr>
              <w:t>Orders</w:t>
            </w:r>
          </w:p>
        </w:tc>
        <w:tc>
          <w:tcPr>
            <w:tcW w:type="dxa" w:w="1872"/>
            <w:shd w:fill="F8FAFC"/>
          </w:tcPr>
          <w:p>
            <w:pPr>
              <w:jc w:val="left"/>
            </w:pPr>
            <w:r>
              <w:rPr>
                <w:rFonts w:ascii="Calibri" w:hAnsi="Calibri"/>
                <w:b w:val="0"/>
                <w:color w:val="1E293B"/>
                <w:sz w:val="17"/>
              </w:rPr>
              <w:t>[Region] = "Oceania"</w:t>
            </w:r>
          </w:p>
        </w:tc>
        <w:tc>
          <w:tcPr>
            <w:tcW w:type="dxa" w:w="1872"/>
            <w:shd w:fill="F8FAFC"/>
          </w:tcPr>
          <w:p>
            <w:pPr>
              <w:jc w:val="left"/>
            </w:pPr>
            <w:r>
              <w:rPr>
                <w:rFonts w:ascii="Calibri" w:hAnsi="Calibri"/>
                <w:b w:val="0"/>
                <w:color w:val="1E293B"/>
                <w:sz w:val="17"/>
              </w:rPr>
              <w:t>Oceania orders only ($1.10M sales baseline)</w:t>
            </w:r>
          </w:p>
        </w:tc>
        <w:tc>
          <w:tcPr>
            <w:tcW w:type="dxa" w:w="1872"/>
            <w:shd w:fill="F8FAFC"/>
          </w:tcPr>
          <w:p>
            <w:pPr>
              <w:jc w:val="left"/>
            </w:pPr>
            <w:r>
              <w:rPr>
                <w:rFonts w:ascii="Calibri" w:hAnsi="Calibri"/>
                <w:b w:val="0"/>
                <w:color w:val="1E293B"/>
                <w:sz w:val="17"/>
              </w:rPr>
              <w:t>Restricts Pacific territory data to regional operations.</w:t>
            </w:r>
          </w:p>
        </w:tc>
      </w:tr>
      <w:tr>
        <w:tc>
          <w:tcPr>
            <w:tcW w:type="dxa" w:w="1872"/>
            <w:shd w:fill="FFFFFF"/>
          </w:tcPr>
          <w:p>
            <w:pPr>
              <w:jc w:val="left"/>
            </w:pPr>
            <w:r>
              <w:rPr>
                <w:rFonts w:ascii="Calibri" w:hAnsi="Calibri"/>
                <w:b/>
                <w:color w:val="1E293B"/>
                <w:sz w:val="17"/>
              </w:rPr>
              <w:t>North_America_Manager</w:t>
            </w:r>
          </w:p>
        </w:tc>
        <w:tc>
          <w:tcPr>
            <w:tcW w:type="dxa" w:w="1872"/>
            <w:shd w:fill="FFFFFF"/>
          </w:tcPr>
          <w:p>
            <w:pPr>
              <w:jc w:val="center"/>
            </w:pPr>
            <w:r>
              <w:rPr>
                <w:rFonts w:ascii="Calibri" w:hAnsi="Calibri"/>
                <w:b w:val="0"/>
                <w:color w:val="1E293B"/>
                <w:sz w:val="17"/>
              </w:rPr>
              <w:t>Orders</w:t>
            </w:r>
          </w:p>
        </w:tc>
        <w:tc>
          <w:tcPr>
            <w:tcW w:type="dxa" w:w="1872"/>
            <w:shd w:fill="FFFFFF"/>
          </w:tcPr>
          <w:p>
            <w:pPr>
              <w:jc w:val="left"/>
            </w:pPr>
            <w:r>
              <w:rPr>
                <w:rFonts w:ascii="Calibri" w:hAnsi="Calibri"/>
                <w:b w:val="0"/>
                <w:color w:val="1E293B"/>
                <w:sz w:val="17"/>
              </w:rPr>
              <w:t>[Region] IN {"Western US", "Eastern US", "Central US", "Southern US", "Canada"}</w:t>
            </w:r>
          </w:p>
        </w:tc>
        <w:tc>
          <w:tcPr>
            <w:tcW w:type="dxa" w:w="1872"/>
            <w:shd w:fill="FFFFFF"/>
          </w:tcPr>
          <w:p>
            <w:pPr>
              <w:jc w:val="left"/>
            </w:pPr>
            <w:r>
              <w:rPr>
                <w:rFonts w:ascii="Calibri" w:hAnsi="Calibri"/>
                <w:b w:val="0"/>
                <w:color w:val="1E293B"/>
                <w:sz w:val="17"/>
              </w:rPr>
              <w:t>All North American territories combined</w:t>
            </w:r>
          </w:p>
        </w:tc>
        <w:tc>
          <w:tcPr>
            <w:tcW w:type="dxa" w:w="1872"/>
            <w:shd w:fill="FFFFFF"/>
          </w:tcPr>
          <w:p>
            <w:pPr>
              <w:jc w:val="left"/>
            </w:pPr>
            <w:r>
              <w:rPr>
                <w:rFonts w:ascii="Calibri" w:hAnsi="Calibri"/>
                <w:b w:val="0"/>
                <w:color w:val="1E293B"/>
                <w:sz w:val="17"/>
              </w:rPr>
              <w:t>Aggregates US and Canadian sub-regions under regional vice presidency while excluding EMEA/APAC.</w:t>
            </w:r>
          </w:p>
        </w:tc>
      </w:tr>
      <w:tr>
        <w:tc>
          <w:tcPr>
            <w:tcW w:type="dxa" w:w="1872"/>
            <w:shd w:fill="F8FAFC"/>
          </w:tcPr>
          <w:p>
            <w:pPr>
              <w:jc w:val="left"/>
            </w:pPr>
            <w:r>
              <w:rPr>
                <w:rFonts w:ascii="Calibri" w:hAnsi="Calibri"/>
                <w:b/>
                <w:color w:val="1E293B"/>
                <w:sz w:val="17"/>
              </w:rPr>
              <w:t>Global_Executive_Role</w:t>
            </w:r>
          </w:p>
        </w:tc>
        <w:tc>
          <w:tcPr>
            <w:tcW w:type="dxa" w:w="1872"/>
            <w:shd w:fill="F8FAFC"/>
          </w:tcPr>
          <w:p>
            <w:pPr>
              <w:jc w:val="center"/>
            </w:pPr>
            <w:r>
              <w:rPr>
                <w:rFonts w:ascii="Calibri" w:hAnsi="Calibri"/>
                <w:b w:val="0"/>
                <w:color w:val="1E293B"/>
                <w:sz w:val="17"/>
              </w:rPr>
              <w:t>Orders</w:t>
            </w:r>
          </w:p>
        </w:tc>
        <w:tc>
          <w:tcPr>
            <w:tcW w:type="dxa" w:w="1872"/>
            <w:shd w:fill="F8FAFC"/>
          </w:tcPr>
          <w:p>
            <w:pPr>
              <w:jc w:val="left"/>
            </w:pPr>
            <w:r>
              <w:rPr>
                <w:rFonts w:ascii="Calibri" w:hAnsi="Calibri"/>
                <w:b w:val="0"/>
                <w:color w:val="1E293B"/>
                <w:sz w:val="17"/>
              </w:rPr>
              <w:t>1 = 1 (No Filter)</w:t>
            </w:r>
          </w:p>
        </w:tc>
        <w:tc>
          <w:tcPr>
            <w:tcW w:type="dxa" w:w="1872"/>
            <w:shd w:fill="F8FAFC"/>
          </w:tcPr>
          <w:p>
            <w:pPr>
              <w:jc w:val="left"/>
            </w:pPr>
            <w:r>
              <w:rPr>
                <w:rFonts w:ascii="Calibri" w:hAnsi="Calibri"/>
                <w:b w:val="0"/>
                <w:color w:val="1E293B"/>
                <w:sz w:val="17"/>
              </w:rPr>
              <w:t>All 51,290 transactions across all 13 global regions</w:t>
            </w:r>
          </w:p>
        </w:tc>
        <w:tc>
          <w:tcPr>
            <w:tcW w:type="dxa" w:w="1872"/>
            <w:shd w:fill="F8FAFC"/>
          </w:tcPr>
          <w:p>
            <w:pPr>
              <w:jc w:val="left"/>
            </w:pPr>
            <w:r>
              <w:rPr>
                <w:rFonts w:ascii="Calibri" w:hAnsi="Calibri"/>
                <w:b w:val="0"/>
                <w:color w:val="1E293B"/>
                <w:sz w:val="17"/>
              </w:rPr>
              <w:t>Enables CEO, CFO, and Global Sales VP to access corporate consolidated reports without regional barriers.</w:t>
            </w:r>
          </w:p>
        </w:tc>
      </w:tr>
    </w:tbl>
    <w:p>
      <w:pPr>
        <w:spacing w:after="80"/>
      </w:pPr>
    </w:p>
    <w:p>
      <w:pPr>
        <w:spacing w:after="60" w:before="160" w:line="276" w:lineRule="auto"/>
      </w:pPr>
      <w:r>
        <w:rPr>
          <w:rFonts w:ascii="Calibri" w:hAnsi="Calibri"/>
          <w:b/>
          <w:i w:val="0"/>
          <w:color w:val="1A2B4C"/>
          <w:sz w:val="24"/>
        </w:rPr>
        <w:t>Technical Steps to Implement RLS in Power BI Desktop &amp; Service</w:t>
      </w:r>
    </w:p>
    <w:p>
      <w:pPr>
        <w:pStyle w:val="ListBullet"/>
        <w:spacing w:after="70" w:line="276" w:lineRule="auto"/>
      </w:pPr>
      <w:r>
        <w:rPr>
          <w:rFonts w:ascii="Calibri" w:hAnsi="Calibri"/>
          <w:b/>
          <w:color w:val="1E293B"/>
          <w:sz w:val="21"/>
        </w:rPr>
        <w:t xml:space="preserve">Step 1 (Create Roles): </w:t>
      </w:r>
      <w:r>
        <w:rPr>
          <w:rFonts w:ascii="Calibri" w:hAnsi="Calibri"/>
          <w:color w:val="1E293B"/>
          <w:sz w:val="21"/>
        </w:rPr>
        <w:t>Open Report in Power BI Desktop: Navigate to Modeling tab &gt; Manage roles.</w:t>
      </w:r>
    </w:p>
    <w:p>
      <w:pPr>
        <w:pStyle w:val="ListBullet"/>
        <w:spacing w:after="70" w:line="276" w:lineRule="auto"/>
      </w:pPr>
      <w:r>
        <w:rPr>
          <w:rFonts w:ascii="Calibri" w:hAnsi="Calibri"/>
          <w:b/>
          <w:color w:val="1E293B"/>
          <w:sz w:val="21"/>
        </w:rPr>
        <w:t xml:space="preserve">Step 2 (Define Expression): </w:t>
      </w:r>
      <w:r>
        <w:rPr>
          <w:rFonts w:ascii="Calibri" w:hAnsi="Calibri"/>
          <w:color w:val="1E293B"/>
          <w:sz w:val="21"/>
        </w:rPr>
        <w:t>Create Role &amp; Enter DAX Filter: Click Create. Name the role Western_Europe_Manager. Under Tables, select Orders, and in the Table filter DAX expression box, enter: [Region] = "Western Europe". Click Save.</w:t>
      </w:r>
    </w:p>
    <w:p>
      <w:pPr>
        <w:pStyle w:val="ListBullet"/>
        <w:spacing w:after="70" w:line="276" w:lineRule="auto"/>
      </w:pPr>
      <w:r>
        <w:rPr>
          <w:rFonts w:ascii="Calibri" w:hAnsi="Calibri"/>
          <w:b/>
          <w:color w:val="1E293B"/>
          <w:sz w:val="21"/>
        </w:rPr>
        <w:t xml:space="preserve">Step 3 (Verify via 'View as'): </w:t>
      </w:r>
      <w:r>
        <w:rPr>
          <w:rFonts w:ascii="Calibri" w:hAnsi="Calibri"/>
          <w:color w:val="1E293B"/>
          <w:sz w:val="21"/>
        </w:rPr>
        <w:t>Test Roles Locally: In the Modeling ribbon, click View as. Select Western_Europe_Manager and click OK. Verify that all charts (Sales by Region, Top Customers, KPI Cards) automatically recalculate to reflect only Western Europe data ($1.73M sales).</w:t>
      </w:r>
    </w:p>
    <w:p>
      <w:pPr>
        <w:pStyle w:val="ListBullet"/>
        <w:spacing w:after="70" w:line="276" w:lineRule="auto"/>
      </w:pPr>
      <w:r>
        <w:rPr>
          <w:rFonts w:ascii="Calibri" w:hAnsi="Calibri"/>
          <w:b/>
          <w:color w:val="1E293B"/>
          <w:sz w:val="21"/>
        </w:rPr>
        <w:t xml:space="preserve">Step 4 (Service Mapping): </w:t>
      </w:r>
      <w:r>
        <w:rPr>
          <w:rFonts w:ascii="Calibri" w:hAnsi="Calibri"/>
          <w:color w:val="1E293B"/>
          <w:sz w:val="21"/>
        </w:rPr>
        <w:t>Publish &amp; Assign Cloud Users: Save and publish the report to Power BI Service. In the workspace, locate the dataset, click More options (...) &gt; Security. Under the Western_Europe_Manager role, add the email addresses or security groups of European managers and click Save.</w:t>
      </w:r>
    </w:p>
    <w:p>
      <w:pPr>
        <w:spacing w:after="80" w:before="280" w:line="276" w:lineRule="auto"/>
        <w:pBdr>
          <w:bottom w:val="single" w:sz="8" w:space="4" w:color="2563EB"/>
        </w:pBdr>
      </w:pPr>
      <w:r>
        <w:rPr>
          <w:rFonts w:ascii="Calibri" w:hAnsi="Calibri"/>
          <w:b/>
          <w:i w:val="0"/>
          <w:color w:val="1A2B4C"/>
          <w:sz w:val="29"/>
        </w:rPr>
        <w:t>7. Security Risk Assessment &amp; Mitigation Measures (Part E)</w:t>
      </w:r>
    </w:p>
    <w:p>
      <w:pPr>
        <w:spacing w:after="100" w:line="276" w:lineRule="auto"/>
      </w:pPr>
      <w:r>
        <w:rPr>
          <w:rFonts w:ascii="Calibri" w:hAnsi="Calibri"/>
          <w:color w:val="1E293B"/>
          <w:sz w:val="21"/>
        </w:rPr>
        <w:t>Deploying business intelligence solutions introduces distinct attack vectors. Table 9.5 documents the security risk assessment conducted across identity, authorization, and data exfiltration vectors, establishing enforceable mitigation controls.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2B4C"/>
          </w:tcPr>
          <w:p>
            <w:pPr>
              <w:jc w:val="center"/>
            </w:pPr>
            <w:r>
              <w:rPr>
                <w:rFonts w:ascii="Calibri" w:hAnsi="Calibri"/>
                <w:b/>
                <w:color w:val="FFFFFF"/>
                <w:sz w:val="19"/>
              </w:rPr>
              <w:t>Identified Threat / Risk</w:t>
            </w:r>
          </w:p>
        </w:tc>
        <w:tc>
          <w:tcPr>
            <w:tcW w:type="dxa" w:w="1872"/>
            <w:shd w:fill="1A2B4C"/>
          </w:tcPr>
          <w:p>
            <w:pPr>
              <w:jc w:val="center"/>
            </w:pPr>
            <w:r>
              <w:rPr>
                <w:rFonts w:ascii="Calibri" w:hAnsi="Calibri"/>
                <w:b/>
                <w:color w:val="FFFFFF"/>
                <w:sz w:val="19"/>
              </w:rPr>
              <w:t>Category</w:t>
            </w:r>
          </w:p>
        </w:tc>
        <w:tc>
          <w:tcPr>
            <w:tcW w:type="dxa" w:w="1872"/>
            <w:shd w:fill="1A2B4C"/>
          </w:tcPr>
          <w:p>
            <w:pPr>
              <w:jc w:val="center"/>
            </w:pPr>
            <w:r>
              <w:rPr>
                <w:rFonts w:ascii="Calibri" w:hAnsi="Calibri"/>
                <w:b/>
                <w:color w:val="FFFFFF"/>
                <w:sz w:val="19"/>
              </w:rPr>
              <w:t>Severity</w:t>
            </w:r>
          </w:p>
        </w:tc>
        <w:tc>
          <w:tcPr>
            <w:tcW w:type="dxa" w:w="1872"/>
            <w:shd w:fill="1A2B4C"/>
          </w:tcPr>
          <w:p>
            <w:pPr>
              <w:jc w:val="center"/>
            </w:pPr>
            <w:r>
              <w:rPr>
                <w:rFonts w:ascii="Calibri" w:hAnsi="Calibri"/>
                <w:b/>
                <w:color w:val="FFFFFF"/>
                <w:sz w:val="19"/>
              </w:rPr>
              <w:t>Recommended Security Control</w:t>
            </w:r>
          </w:p>
        </w:tc>
        <w:tc>
          <w:tcPr>
            <w:tcW w:type="dxa" w:w="1872"/>
            <w:shd w:fill="1A2B4C"/>
          </w:tcPr>
          <w:p>
            <w:pPr>
              <w:jc w:val="center"/>
            </w:pPr>
            <w:r>
              <w:rPr>
                <w:rFonts w:ascii="Calibri" w:hAnsi="Calibri"/>
                <w:b/>
                <w:color w:val="FFFFFF"/>
                <w:sz w:val="19"/>
              </w:rPr>
              <w:t>Monitoring Mechanism</w:t>
            </w:r>
          </w:p>
        </w:tc>
      </w:tr>
      <w:tr>
        <w:tc>
          <w:tcPr>
            <w:tcW w:type="dxa" w:w="1872"/>
            <w:shd w:fill="F8FAFC"/>
          </w:tcPr>
          <w:p>
            <w:pPr>
              <w:jc w:val="left"/>
            </w:pPr>
            <w:r>
              <w:rPr>
                <w:rFonts w:ascii="Calibri" w:hAnsi="Calibri"/>
                <w:b/>
                <w:color w:val="1E293B"/>
                <w:sz w:val="17"/>
              </w:rPr>
              <w:t>Unauthorized Data Access via Credential Theft</w:t>
            </w:r>
          </w:p>
        </w:tc>
        <w:tc>
          <w:tcPr>
            <w:tcW w:type="dxa" w:w="1872"/>
            <w:shd w:fill="F8FAFC"/>
          </w:tcPr>
          <w:p>
            <w:pPr>
              <w:jc w:val="center"/>
            </w:pPr>
            <w:r>
              <w:rPr>
                <w:rFonts w:ascii="Calibri" w:hAnsi="Calibri"/>
                <w:b w:val="0"/>
                <w:color w:val="1E293B"/>
                <w:sz w:val="17"/>
              </w:rPr>
              <w:t>Authentication</w:t>
            </w:r>
          </w:p>
        </w:tc>
        <w:tc>
          <w:tcPr>
            <w:tcW w:type="dxa" w:w="1872"/>
            <w:shd w:fill="F8FAFC"/>
          </w:tcPr>
          <w:p>
            <w:pPr>
              <w:jc w:val="center"/>
            </w:pPr>
            <w:r>
              <w:rPr>
                <w:rFonts w:ascii="Calibri" w:hAnsi="Calibri"/>
                <w:b w:val="0"/>
                <w:color w:val="1E293B"/>
                <w:sz w:val="17"/>
              </w:rPr>
              <w:t>High</w:t>
            </w:r>
          </w:p>
        </w:tc>
        <w:tc>
          <w:tcPr>
            <w:tcW w:type="dxa" w:w="1872"/>
            <w:shd w:fill="F8FAFC"/>
          </w:tcPr>
          <w:p>
            <w:pPr>
              <w:jc w:val="left"/>
            </w:pPr>
            <w:r>
              <w:rPr>
                <w:rFonts w:ascii="Calibri" w:hAnsi="Calibri"/>
                <w:b w:val="0"/>
                <w:color w:val="1E293B"/>
                <w:sz w:val="17"/>
              </w:rPr>
              <w:t>Enforce Azure AD Multi-Factor Authentication (MFA) and Conditional Access policies for all Power BI accounts.</w:t>
            </w:r>
          </w:p>
        </w:tc>
        <w:tc>
          <w:tcPr>
            <w:tcW w:type="dxa" w:w="1872"/>
            <w:shd w:fill="F8FAFC"/>
          </w:tcPr>
          <w:p>
            <w:pPr>
              <w:jc w:val="left"/>
            </w:pPr>
            <w:r>
              <w:rPr>
                <w:rFonts w:ascii="Calibri" w:hAnsi="Calibri"/>
                <w:b w:val="0"/>
                <w:color w:val="1E293B"/>
                <w:sz w:val="17"/>
              </w:rPr>
              <w:t>Azure AD Sign-in Logs &amp; Identity Protection alerts.</w:t>
            </w:r>
          </w:p>
        </w:tc>
      </w:tr>
      <w:tr>
        <w:tc>
          <w:tcPr>
            <w:tcW w:type="dxa" w:w="1872"/>
            <w:shd w:fill="FFFFFF"/>
          </w:tcPr>
          <w:p>
            <w:pPr>
              <w:jc w:val="left"/>
            </w:pPr>
            <w:r>
              <w:rPr>
                <w:rFonts w:ascii="Calibri" w:hAnsi="Calibri"/>
                <w:b/>
                <w:color w:val="1E293B"/>
                <w:sz w:val="17"/>
              </w:rPr>
              <w:t>Excessive Permissions (Privilege Creep)</w:t>
            </w:r>
          </w:p>
        </w:tc>
        <w:tc>
          <w:tcPr>
            <w:tcW w:type="dxa" w:w="1872"/>
            <w:shd w:fill="FFFFFF"/>
          </w:tcPr>
          <w:p>
            <w:pPr>
              <w:jc w:val="center"/>
            </w:pPr>
            <w:r>
              <w:rPr>
                <w:rFonts w:ascii="Calibri" w:hAnsi="Calibri"/>
                <w:b w:val="0"/>
                <w:color w:val="1E293B"/>
                <w:sz w:val="17"/>
              </w:rPr>
              <w:t>Authorization</w:t>
            </w:r>
          </w:p>
        </w:tc>
        <w:tc>
          <w:tcPr>
            <w:tcW w:type="dxa" w:w="1872"/>
            <w:shd w:fill="FFFFFF"/>
          </w:tcPr>
          <w:p>
            <w:pPr>
              <w:jc w:val="center"/>
            </w:pPr>
            <w:r>
              <w:rPr>
                <w:rFonts w:ascii="Calibri" w:hAnsi="Calibri"/>
                <w:b w:val="0"/>
                <w:color w:val="1E293B"/>
                <w:sz w:val="17"/>
              </w:rPr>
              <w:t>High</w:t>
            </w:r>
          </w:p>
        </w:tc>
        <w:tc>
          <w:tcPr>
            <w:tcW w:type="dxa" w:w="1872"/>
            <w:shd w:fill="FFFFFF"/>
          </w:tcPr>
          <w:p>
            <w:pPr>
              <w:jc w:val="left"/>
            </w:pPr>
            <w:r>
              <w:rPr>
                <w:rFonts w:ascii="Calibri" w:hAnsi="Calibri"/>
                <w:b w:val="0"/>
                <w:color w:val="1E293B"/>
                <w:sz w:val="17"/>
              </w:rPr>
              <w:t>Apply Role-Based Access Control (RBAC); assign 'Viewer' by default; conduct quarterly access certification audits.</w:t>
            </w:r>
          </w:p>
        </w:tc>
        <w:tc>
          <w:tcPr>
            <w:tcW w:type="dxa" w:w="1872"/>
            <w:shd w:fill="FFFFFF"/>
          </w:tcPr>
          <w:p>
            <w:pPr>
              <w:jc w:val="left"/>
            </w:pPr>
            <w:r>
              <w:rPr>
                <w:rFonts w:ascii="Calibri" w:hAnsi="Calibri"/>
                <w:b w:val="0"/>
                <w:color w:val="1E293B"/>
                <w:sz w:val="17"/>
              </w:rPr>
              <w:t>Power BI Admin Workspace Access Review quarterly.</w:t>
            </w:r>
          </w:p>
        </w:tc>
      </w:tr>
      <w:tr>
        <w:tc>
          <w:tcPr>
            <w:tcW w:type="dxa" w:w="1872"/>
            <w:shd w:fill="F8FAFC"/>
          </w:tcPr>
          <w:p>
            <w:pPr>
              <w:jc w:val="left"/>
            </w:pPr>
            <w:r>
              <w:rPr>
                <w:rFonts w:ascii="Calibri" w:hAnsi="Calibri"/>
                <w:b/>
                <w:color w:val="1E293B"/>
                <w:sz w:val="17"/>
              </w:rPr>
              <w:t>Cross-Regional Data Leakage</w:t>
            </w:r>
          </w:p>
        </w:tc>
        <w:tc>
          <w:tcPr>
            <w:tcW w:type="dxa" w:w="1872"/>
            <w:shd w:fill="F8FAFC"/>
          </w:tcPr>
          <w:p>
            <w:pPr>
              <w:jc w:val="center"/>
            </w:pPr>
            <w:r>
              <w:rPr>
                <w:rFonts w:ascii="Calibri" w:hAnsi="Calibri"/>
                <w:b w:val="0"/>
                <w:color w:val="1E293B"/>
                <w:sz w:val="17"/>
              </w:rPr>
              <w:t>Data Protection</w:t>
            </w:r>
          </w:p>
        </w:tc>
        <w:tc>
          <w:tcPr>
            <w:tcW w:type="dxa" w:w="1872"/>
            <w:shd w:fill="F8FAFC"/>
          </w:tcPr>
          <w:p>
            <w:pPr>
              <w:jc w:val="center"/>
            </w:pPr>
            <w:r>
              <w:rPr>
                <w:rFonts w:ascii="Calibri" w:hAnsi="Calibri"/>
                <w:b w:val="0"/>
                <w:color w:val="1E293B"/>
                <w:sz w:val="17"/>
              </w:rPr>
              <w:t>Critical</w:t>
            </w:r>
          </w:p>
        </w:tc>
        <w:tc>
          <w:tcPr>
            <w:tcW w:type="dxa" w:w="1872"/>
            <w:shd w:fill="F8FAFC"/>
          </w:tcPr>
          <w:p>
            <w:pPr>
              <w:jc w:val="left"/>
            </w:pPr>
            <w:r>
              <w:rPr>
                <w:rFonts w:ascii="Calibri" w:hAnsi="Calibri"/>
                <w:b w:val="0"/>
                <w:color w:val="1E293B"/>
                <w:sz w:val="17"/>
              </w:rPr>
              <w:t>Implement DAX-based Row-Level Security (RLS); test roles using 'View as' in Desktop prior to cloud publishing.</w:t>
            </w:r>
          </w:p>
        </w:tc>
        <w:tc>
          <w:tcPr>
            <w:tcW w:type="dxa" w:w="1872"/>
            <w:shd w:fill="F8FAFC"/>
          </w:tcPr>
          <w:p>
            <w:pPr>
              <w:jc w:val="left"/>
            </w:pPr>
            <w:r>
              <w:rPr>
                <w:rFonts w:ascii="Calibri" w:hAnsi="Calibri"/>
                <w:b w:val="0"/>
                <w:color w:val="1E293B"/>
                <w:sz w:val="17"/>
              </w:rPr>
              <w:t>Service RLS mapping verification &amp; row-count checks.</w:t>
            </w:r>
          </w:p>
        </w:tc>
      </w:tr>
      <w:tr>
        <w:tc>
          <w:tcPr>
            <w:tcW w:type="dxa" w:w="1872"/>
            <w:shd w:fill="FFFFFF"/>
          </w:tcPr>
          <w:p>
            <w:pPr>
              <w:jc w:val="left"/>
            </w:pPr>
            <w:r>
              <w:rPr>
                <w:rFonts w:ascii="Calibri" w:hAnsi="Calibri"/>
                <w:b/>
                <w:color w:val="1E293B"/>
                <w:sz w:val="17"/>
              </w:rPr>
              <w:t>Accidental Sharing / Data Exfiltration</w:t>
            </w:r>
          </w:p>
        </w:tc>
        <w:tc>
          <w:tcPr>
            <w:tcW w:type="dxa" w:w="1872"/>
            <w:shd w:fill="FFFFFF"/>
          </w:tcPr>
          <w:p>
            <w:pPr>
              <w:jc w:val="center"/>
            </w:pPr>
            <w:r>
              <w:rPr>
                <w:rFonts w:ascii="Calibri" w:hAnsi="Calibri"/>
                <w:b w:val="0"/>
                <w:color w:val="1E293B"/>
                <w:sz w:val="17"/>
              </w:rPr>
              <w:t>Data Governance</w:t>
            </w:r>
          </w:p>
        </w:tc>
        <w:tc>
          <w:tcPr>
            <w:tcW w:type="dxa" w:w="1872"/>
            <w:shd w:fill="FFFFFF"/>
          </w:tcPr>
          <w:p>
            <w:pPr>
              <w:jc w:val="center"/>
            </w:pPr>
            <w:r>
              <w:rPr>
                <w:rFonts w:ascii="Calibri" w:hAnsi="Calibri"/>
                <w:b w:val="0"/>
                <w:color w:val="1E293B"/>
                <w:sz w:val="17"/>
              </w:rPr>
              <w:t>Medium</w:t>
            </w:r>
          </w:p>
        </w:tc>
        <w:tc>
          <w:tcPr>
            <w:tcW w:type="dxa" w:w="1872"/>
            <w:shd w:fill="FFFFFF"/>
          </w:tcPr>
          <w:p>
            <w:pPr>
              <w:jc w:val="left"/>
            </w:pPr>
            <w:r>
              <w:rPr>
                <w:rFonts w:ascii="Calibri" w:hAnsi="Calibri"/>
                <w:b w:val="0"/>
                <w:color w:val="1E293B"/>
                <w:sz w:val="17"/>
              </w:rPr>
              <w:t>Disable 'Allow users to share reports' in Viewer roles; enforce Microsoft Information Protection (MIP) sensitivity labels.</w:t>
            </w:r>
          </w:p>
        </w:tc>
        <w:tc>
          <w:tcPr>
            <w:tcW w:type="dxa" w:w="1872"/>
            <w:shd w:fill="FFFFFF"/>
          </w:tcPr>
          <w:p>
            <w:pPr>
              <w:jc w:val="left"/>
            </w:pPr>
            <w:r>
              <w:rPr>
                <w:rFonts w:ascii="Calibri" w:hAnsi="Calibri"/>
                <w:b w:val="0"/>
                <w:color w:val="1E293B"/>
                <w:sz w:val="17"/>
              </w:rPr>
              <w:t>Power BI Activity Log &amp; Microsoft Purview audit.</w:t>
            </w:r>
          </w:p>
        </w:tc>
      </w:tr>
      <w:tr>
        <w:tc>
          <w:tcPr>
            <w:tcW w:type="dxa" w:w="1872"/>
            <w:shd w:fill="F8FAFC"/>
          </w:tcPr>
          <w:p>
            <w:pPr>
              <w:jc w:val="left"/>
            </w:pPr>
            <w:r>
              <w:rPr>
                <w:rFonts w:ascii="Calibri" w:hAnsi="Calibri"/>
                <w:b/>
                <w:color w:val="1E293B"/>
                <w:sz w:val="17"/>
              </w:rPr>
              <w:t>Unencrypted Local PBIX Distribution</w:t>
            </w:r>
          </w:p>
        </w:tc>
        <w:tc>
          <w:tcPr>
            <w:tcW w:type="dxa" w:w="1872"/>
            <w:shd w:fill="F8FAFC"/>
          </w:tcPr>
          <w:p>
            <w:pPr>
              <w:jc w:val="center"/>
            </w:pPr>
            <w:r>
              <w:rPr>
                <w:rFonts w:ascii="Calibri" w:hAnsi="Calibri"/>
                <w:b w:val="0"/>
                <w:color w:val="1E293B"/>
                <w:sz w:val="17"/>
              </w:rPr>
              <w:t>Endpoint Security</w:t>
            </w:r>
          </w:p>
        </w:tc>
        <w:tc>
          <w:tcPr>
            <w:tcW w:type="dxa" w:w="1872"/>
            <w:shd w:fill="F8FAFC"/>
          </w:tcPr>
          <w:p>
            <w:pPr>
              <w:jc w:val="center"/>
            </w:pPr>
            <w:r>
              <w:rPr>
                <w:rFonts w:ascii="Calibri" w:hAnsi="Calibri"/>
                <w:b w:val="0"/>
                <w:color w:val="1E293B"/>
                <w:sz w:val="17"/>
              </w:rPr>
              <w:t>High</w:t>
            </w:r>
          </w:p>
        </w:tc>
        <w:tc>
          <w:tcPr>
            <w:tcW w:type="dxa" w:w="1872"/>
            <w:shd w:fill="F8FAFC"/>
          </w:tcPr>
          <w:p>
            <w:pPr>
              <w:jc w:val="left"/>
            </w:pPr>
            <w:r>
              <w:rPr>
                <w:rFonts w:ascii="Calibri" w:hAnsi="Calibri"/>
                <w:b w:val="0"/>
                <w:color w:val="1E293B"/>
                <w:sz w:val="17"/>
              </w:rPr>
              <w:t>Mandate that production PBIX files are saved only to encrypted corporate OneDrive / SharePoint; prohibit local unmanaged copies.</w:t>
            </w:r>
          </w:p>
        </w:tc>
        <w:tc>
          <w:tcPr>
            <w:tcW w:type="dxa" w:w="1872"/>
            <w:shd w:fill="F8FAFC"/>
          </w:tcPr>
          <w:p>
            <w:pPr>
              <w:jc w:val="left"/>
            </w:pPr>
            <w:r>
              <w:rPr>
                <w:rFonts w:ascii="Calibri" w:hAnsi="Calibri"/>
                <w:b w:val="0"/>
                <w:color w:val="1E293B"/>
                <w:sz w:val="17"/>
              </w:rPr>
              <w:t>Endpoint DLP policies and local disk BitLocker encryption.</w:t>
            </w:r>
          </w:p>
        </w:tc>
      </w:tr>
    </w:tbl>
    <w:p>
      <w:pPr>
        <w:spacing w:after="80"/>
      </w:pPr>
    </w:p>
    <w:p>
      <w:pPr>
        <w:spacing w:after="80" w:before="280" w:line="276" w:lineRule="auto"/>
        <w:pBdr>
          <w:bottom w:val="single" w:sz="8" w:space="4" w:color="2563EB"/>
        </w:pBdr>
      </w:pPr>
      <w:r>
        <w:rPr>
          <w:rFonts w:ascii="Calibri" w:hAnsi="Calibri"/>
          <w:b/>
          <w:i w:val="0"/>
          <w:color w:val="1A2B4C"/>
          <w:sz w:val="29"/>
        </w:rPr>
        <w:t>8. Conclusion &amp; Deliverables Summary</w:t>
      </w:r>
    </w:p>
    <w:p>
      <w:pPr>
        <w:spacing w:after="100" w:line="276" w:lineRule="auto"/>
      </w:pPr>
      <w:r>
        <w:rPr>
          <w:rFonts w:ascii="Calibri" w:hAnsi="Calibri"/>
          <w:color w:val="1E293B"/>
          <w:sz w:val="21"/>
        </w:rPr>
        <w:t>Experiment 9 establishes a robust, defense-in-depth security framework for enterprise Business Intelligence. By integrating Azure AD Multi-Factor Authentication, strict Role-Based Access Control workspace roles (Admin, Member, Contributor, Viewer), and granular DAX Row-Level Security, Global Superstore ensures that confidential financial metrics, customer transaction details, and strategic scorecards remain fully protected against unauthorized exposure while empowering stakeholders with precisely the data they need.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