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ai_model_governance_policy"/>
      <w:r>
        <w:rPr>
          <w:rFonts w:eastAsia="georgia" w:cs="georgia" w:ascii="georgia" w:hAnsi="georgia"/>
          <w:b/>
          <w:color w:val="000000"/>
          <w:sz w:val="39"/>
        </w:rPr>
        <w:t xml:space="preserve">AI Model Governance Policy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Particle App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Version 1.0 — April 2026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Classification: Public / Regulatory Disclosure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purpose_and_scope"/>
      <w:r>
        <w:rPr>
          <w:rFonts w:eastAsia="georgia" w:cs="georgia" w:ascii="georgia" w:hAnsi="georgia"/>
          <w:b/>
          <w:color w:val="000000"/>
          <w:sz w:val="24"/>
        </w:rPr>
        <w:t xml:space="preserve">1. Purpose and Scope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policy sets out Particle's approach to the governance of AI and machine learning models used within the Particle App, in accordance with: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FCA Consumer Duty (PS22/9) and FCA AI Update 2025;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FCA Principles for Businesses (PRIN) and Senior Managers &amp; Certification Regime (SM&amp;CR);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FCA/ICO joint guidance on AI and data protection in financial services (2025);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FCA's existing principles-based framework applied to AI-enabled solutions;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EU AI Act (Regulation (EU) 2024/1689) where applicable to EU users.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policy applies to all AI models and AI-generated content deployed in user-facing features of the App.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2_regulatory_risk_classification"/>
      <w:r>
        <w:rPr>
          <w:rFonts w:eastAsia="georgia" w:cs="georgia" w:ascii="georgia" w:hAnsi="georgia"/>
          <w:b/>
          <w:color w:val="000000"/>
          <w:sz w:val="24"/>
        </w:rPr>
        <w:t xml:space="preserve">2. Regulatory Risk Classification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Particle classifies its AI use cases as follows: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 Risk Classification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Market data summarisation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Summarising publicly available market statistics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News and event summarisation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Synthesising publicly available financial news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 commentary on price 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Narrative on instrument price movements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Instrument search and ranking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Sorting instruments by objective criteria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Personalised watchlist suggestions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High (not deployed)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Would require individual suitability assessment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Features in the "High" classification category are </w:t>
      </w:r>
      <w:r>
        <w:rPr>
          <w:rFonts w:eastAsia="georgia" w:cs="georgia" w:ascii="georgia" w:hAnsi="georgia"/>
          <w:b/>
          <w:color w:val="000000"/>
        </w:rPr>
        <w:t xml:space="preserve">not deployed</w:t>
      </w:r>
      <w:r>
        <w:rPr>
          <w:rFonts w:eastAsia="georgia" w:cs="georgia" w:ascii="georgia" w:hAnsi="georgia"/>
          <w:color w:val="000000"/>
        </w:rPr>
        <w:t xml:space="preserve"> in the current version of the App. Before deployment, any such feature would require FCA authorisation or a valid exemption path.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3_the_advice_boundary_controls"/>
      <w:r>
        <w:rPr>
          <w:rFonts w:eastAsia="georgia" w:cs="georgia" w:ascii="georgia" w:hAnsi="georgia"/>
          <w:b/>
          <w:color w:val="000000"/>
          <w:sz w:val="24"/>
        </w:rPr>
        <w:t xml:space="preserve">3. The Advice Boundary — Controls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Particle has implemented the following controls to prevent AI models from crossing the financial advice line (i.e., generating "personal recommendations" within the meaning of FSMA and MiFID II):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3.1 System Prompt Constraints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All AI model instances are instructed via system prompt to: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Provide only general market information and factual commentary;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Never state or imply that any instrument is "suitable," "recommended," "a buy," or "a sell" for the user;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Never take into account or reference the user's individual financial circumstances;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Decline to answer if prompted to provide personalised investment guidance; and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Append a standardised disclaimer to all AI-generated financial content.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3.2 Output Filtering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AI outputs are screened for prohibited language patterns including (but not limited to): "you should buy," "I recommend," "suitable for your," "invest in X," "best investment for you." Outputs containing such patterns are suppressed or reformatted.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3.3 No Individual Profiling for Recommendations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Particle does not feed individual user profile data (risk appetite, financial goals, net worth) into AI models for the purpose of tailoring investment commentary to a specific user.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3.4 Disclaimer Attachment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All AI-generated content displayed in the App carries the following appended notice: </w:t>
      </w:r>
      <w:r>
        <w:rPr>
          <w:rFonts w:eastAsia="georgia" w:cs="georgia" w:ascii="georgia" w:hAnsi="georgia"/>
          <w:i/>
          <w:color w:val="000000"/>
        </w:rPr>
        <w:t xml:space="preserve">"This is AI-generated market information, not investment advice. Do not make investment decisions based solely on this content."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bm_4_human_oversight_and_auditability"/>
      <w:r>
        <w:rPr>
          <w:rFonts w:eastAsia="georgia" w:cs="georgia" w:ascii="georgia" w:hAnsi="georgia"/>
          <w:b/>
          <w:color w:val="000000"/>
          <w:sz w:val="24"/>
        </w:rPr>
        <w:t xml:space="preserve">4. Human Oversight and Auditability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4.1 Audit Trail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Particle maintains logs of: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AI model version and configuration in use at time of content generation;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Prompt and output pairs for a rolling 90-day period (subject to privacy law retention limits);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Output filter trigger events.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These logs are available to the FCA and other competent regulators upon request.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4.2 Periodic Review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The AI output review process is conducted no less than quarterly by [Compliance Officer / Designated SM&amp;CR Function Holder]. Reviews assess whether AI outputs are remaining within the information/education boundary and whether output filters require updating.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4.3 Named Accountability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Responsibility for AI model governance sits with: [Name, Title, SM&amp;CR Function Ref], who is the Senior Manager accountable for technology and innovation risk under the Senior Managers &amp; Certification Regime.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bm_5_model_updates_and_incident_response"/>
      <w:r>
        <w:rPr>
          <w:rFonts w:eastAsia="georgia" w:cs="georgia" w:ascii="georgia" w:hAnsi="georgia"/>
          <w:b/>
          <w:color w:val="000000"/>
          <w:sz w:val="24"/>
        </w:rPr>
        <w:t xml:space="preserve">5. Model Updates and Incident Response</w:t>
      </w:r>
      <w:bookmarkEnd w:id="5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Any change to AI model, system prompt, or output filtering logic that could affect the advice/information boundary requires sign-off from the Compliance Officer prior to deployment.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If an AI output that constitutes a personal recommendation is detected post-deployment, the relevant feature will be suspended within 24 hours pending review.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Incidents will be logged in the compliance register and assessed for regulatory notification obligations.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bm_6_eu_ai_act_compliance_where_a_67000c"/>
      <w:r>
        <w:rPr>
          <w:rFonts w:eastAsia="georgia" w:cs="georgia" w:ascii="georgia" w:hAnsi="georgia"/>
          <w:b/>
          <w:color w:val="000000"/>
          <w:sz w:val="24"/>
        </w:rPr>
        <w:t xml:space="preserve">6. EU AI Act Compliance (Where Applicable)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App's AI use cases are assessed against the EU AI Act (in force from August 2024, applicable obligations phased):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App does not deploy AI systems classified as "prohibited" under Article 5;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AI-generated market commentary is assessed as a </w:t>
      </w:r>
      <w:r>
        <w:rPr>
          <w:rFonts w:eastAsia="georgia" w:cs="georgia" w:ascii="georgia" w:hAnsi="georgia"/>
          <w:b/>
          <w:color w:val="000000"/>
          <w:sz w:val="21"/>
        </w:rPr>
        <w:t xml:space="preserve">limited risk</w:t>
      </w:r>
      <w:r>
        <w:rPr>
          <w:rFonts w:eastAsia="georgia" w:cs="georgia" w:ascii="georgia" w:hAnsi="georgia"/>
          <w:color w:val="000000"/>
          <w:sz w:val="21"/>
        </w:rPr>
        <w:t xml:space="preserve"> system under Article 50, requiring transparency obligations (disclosure that content is AI-generated);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In-app labelling discloses AI-generated content to users in all EU/EEA jurisdictions.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7_regulatory_enquiry_contact"/>
      <w:r>
        <w:rPr>
          <w:rFonts w:eastAsia="georgia" w:cs="georgia" w:ascii="georgia" w:hAnsi="georgia"/>
          <w:b/>
          <w:color w:val="000000"/>
          <w:sz w:val="24"/>
        </w:rPr>
        <w:t xml:space="preserve">7. Regulatory Enquiry Contact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Regulatory enquiries regarding AI governance: </w:t>
      </w:r>
      <w:hyperlink r:id="rId5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compliance@particleapp.io</w:t>
        </w:r>
      </w:hyperlink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mailto:compliance@particleapp.io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2026-04-18T07:48:48.351Z</dcterms:created>
  <dcterms:modified xsi:type="dcterms:W3CDTF">2026-04-18T07:48:48.351Z</dcterms:modified>
</cp:coreProperties>
</file>