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757F" w:rsidRPr="00FA621E" w:rsidRDefault="00F6757F" w:rsidP="00F6757F">
      <w:pPr>
        <w:rPr>
          <w:rFonts w:ascii="Times New Roman" w:hAnsi="Times New Roman" w:cs="Times New Roman"/>
          <w:b/>
          <w:sz w:val="24"/>
          <w:szCs w:val="24"/>
        </w:rPr>
      </w:pPr>
      <w:r w:rsidRPr="00FA621E">
        <w:rPr>
          <w:rFonts w:ascii="Times New Roman" w:hAnsi="Times New Roman" w:cs="Times New Roman"/>
          <w:b/>
          <w:sz w:val="24"/>
          <w:szCs w:val="24"/>
        </w:rPr>
        <w:t>1. Executive Summary</w:t>
      </w:r>
    </w:p>
    <w:p w:rsidR="00BF30E8" w:rsidRDefault="00BF30E8" w:rsidP="00BF30E8">
      <w:pPr>
        <w:pStyle w:val="NormalWeb"/>
      </w:pPr>
      <w:r>
        <w:t>The Mutual Fund Analytics Capstone Project was developed to analyze and visualize mutual fund performance, investor behavior, portfolio composition, and market trends using data analytics techniques. The project integrates multiple datasets related to mutual fund schemes, NAV history, investor transactions, fund performance metrics, portfolio holdings, and industry-level inflows.</w:t>
      </w:r>
    </w:p>
    <w:p w:rsidR="00BF30E8" w:rsidRDefault="00BF30E8" w:rsidP="00BF30E8">
      <w:pPr>
        <w:pStyle w:val="NormalWeb"/>
      </w:pPr>
      <w:r>
        <w:t>The primary objective of the project is to build an end-to-end analytics solution that enables stakeholders to gain insights into mutual fund performance and investor activities. The project includes data ingestion, cleaning, transformation, exploratory data analysis (EDA), performance analytics, advanced risk metrics, and dashboard development.</w:t>
      </w:r>
    </w:p>
    <w:p w:rsidR="00BF30E8" w:rsidRDefault="00BF30E8" w:rsidP="00BF30E8">
      <w:pPr>
        <w:pStyle w:val="NormalWeb"/>
      </w:pPr>
      <w:r>
        <w:t xml:space="preserve">A structured ETL pipeline was implemented using Python and Pandas to process raw data into analysis-ready datasets. Exploratory Data Analysis was performed to identify trends in fund categories, investor demographics, SIP contributions, and asset growth. Performance analytics included CAGR comparisons, Sharpe Ratio, </w:t>
      </w:r>
      <w:proofErr w:type="spellStart"/>
      <w:r>
        <w:t>Sortino</w:t>
      </w:r>
      <w:proofErr w:type="spellEnd"/>
      <w:r>
        <w:t xml:space="preserve"> Ratio, Alpha, Beta, and Maximum Drawdown calculations. Advanced analytics techniques such as Value at Risk (</w:t>
      </w:r>
      <w:proofErr w:type="spellStart"/>
      <w:r>
        <w:t>VaR</w:t>
      </w:r>
      <w:proofErr w:type="spellEnd"/>
      <w:r>
        <w:t>), Conditional Value at Risk (</w:t>
      </w:r>
      <w:proofErr w:type="spellStart"/>
      <w:r>
        <w:t>CVaR</w:t>
      </w:r>
      <w:proofErr w:type="spellEnd"/>
      <w:r>
        <w:t xml:space="preserve">), rolling Sharpe ratio analysis, investor cohort analysis, SIP continuity analysis, and sector concentration measurement using the </w:t>
      </w:r>
      <w:proofErr w:type="spellStart"/>
      <w:r>
        <w:t>Herfindahl</w:t>
      </w:r>
      <w:proofErr w:type="spellEnd"/>
      <w:r>
        <w:t>-Hirschman Index (HHI) were also implemented.</w:t>
      </w:r>
    </w:p>
    <w:p w:rsidR="00BF30E8" w:rsidRDefault="00BF30E8" w:rsidP="00BF30E8">
      <w:pPr>
        <w:pStyle w:val="NormalWeb"/>
      </w:pPr>
      <w:r>
        <w:t>Interactive dashboards were developed in Power BI to present key insights through KPI cards, trend visualizations, investor analytics, fund performance comparisons, and market inflow analysis. The dashboard enables users to explore data dynamically using filters and drill-down capabilities.</w:t>
      </w:r>
    </w:p>
    <w:p w:rsidR="00BF30E8" w:rsidRDefault="00BF30E8" w:rsidP="00BF30E8">
      <w:pPr>
        <w:pStyle w:val="NormalWeb"/>
      </w:pPr>
      <w:r>
        <w:t>The project demonstrates the practical application of data engineering, financial analytics, business intelligence, and visualization techniques in the mutual fund domain. The final solution provides actionable insights that can assist investors, analysts, and fund managers in making informed investment decisions.</w:t>
      </w:r>
    </w:p>
    <w:p w:rsidR="00BF30E8" w:rsidRPr="00F6757F" w:rsidRDefault="00BF30E8" w:rsidP="00F6757F">
      <w:pPr>
        <w:rPr>
          <w:rFonts w:ascii="Times New Roman" w:hAnsi="Times New Roman" w:cs="Times New Roman"/>
          <w:sz w:val="24"/>
          <w:szCs w:val="24"/>
        </w:rPr>
      </w:pPr>
    </w:p>
    <w:p w:rsidR="00F6757F" w:rsidRPr="00F6757F" w:rsidRDefault="00F6757F" w:rsidP="00F6757F">
      <w:pPr>
        <w:rPr>
          <w:rFonts w:ascii="Times New Roman" w:hAnsi="Times New Roman" w:cs="Times New Roman"/>
          <w:sz w:val="24"/>
          <w:szCs w:val="24"/>
        </w:rPr>
      </w:pPr>
    </w:p>
    <w:p w:rsidR="00F6757F" w:rsidRPr="00FA621E" w:rsidRDefault="00F6757F" w:rsidP="00F6757F">
      <w:pPr>
        <w:rPr>
          <w:rFonts w:ascii="Times New Roman" w:hAnsi="Times New Roman" w:cs="Times New Roman"/>
          <w:b/>
          <w:sz w:val="24"/>
          <w:szCs w:val="24"/>
        </w:rPr>
      </w:pPr>
      <w:r w:rsidRPr="00FA621E">
        <w:rPr>
          <w:rFonts w:ascii="Times New Roman" w:hAnsi="Times New Roman" w:cs="Times New Roman"/>
          <w:b/>
          <w:sz w:val="24"/>
          <w:szCs w:val="24"/>
        </w:rPr>
        <w:t>2. Problem Statement</w:t>
      </w:r>
    </w:p>
    <w:p w:rsidR="00AA016C" w:rsidRDefault="00AA016C" w:rsidP="00AA016C">
      <w:pPr>
        <w:pStyle w:val="NormalWeb"/>
      </w:pPr>
      <w:r>
        <w:t>The mutual fund industry generates large volumes of data related to fund performance, investor transactions, portfolio holdings, and market inflows. Analyzing this data manually is time-consuming and often fails to provide meaningful insights for investors and fund managers.</w:t>
      </w:r>
    </w:p>
    <w:p w:rsidR="00AA016C" w:rsidRDefault="00AA016C" w:rsidP="00AA016C">
      <w:pPr>
        <w:pStyle w:val="NormalWeb"/>
      </w:pPr>
      <w:r>
        <w:t>Investors need reliable methods to evaluate fund performance, understand risk levels, compare investment options, and monitor market trends. Similarly, fund managers require analytical tools to track asset growth, investor behavior, portfolio concentration, and risk-adjusted returns.</w:t>
      </w:r>
    </w:p>
    <w:p w:rsidR="00AA016C" w:rsidRDefault="00AA016C" w:rsidP="00AA016C">
      <w:pPr>
        <w:pStyle w:val="NormalWeb"/>
      </w:pPr>
      <w:r>
        <w:lastRenderedPageBreak/>
        <w:t>The challenge is to transform raw mutual fund data into a structured analytical system that can provide meaningful insights through data processing, statistical analysis, risk assessment, and interactive visualizations. The solution should support data-driven decision-making and improve the understanding of mutual fund performance and investor activities.</w:t>
      </w:r>
    </w:p>
    <w:p w:rsidR="00F6757F" w:rsidRPr="00F6757F" w:rsidRDefault="00F6757F" w:rsidP="00F6757F">
      <w:pPr>
        <w:rPr>
          <w:rFonts w:ascii="Times New Roman" w:hAnsi="Times New Roman" w:cs="Times New Roman"/>
          <w:sz w:val="24"/>
          <w:szCs w:val="24"/>
        </w:rPr>
      </w:pPr>
    </w:p>
    <w:p w:rsidR="00F6757F" w:rsidRPr="00FA621E" w:rsidRDefault="00F6757F" w:rsidP="00F6757F">
      <w:pPr>
        <w:rPr>
          <w:rFonts w:ascii="Times New Roman" w:hAnsi="Times New Roman" w:cs="Times New Roman"/>
          <w:b/>
          <w:sz w:val="24"/>
          <w:szCs w:val="24"/>
        </w:rPr>
      </w:pPr>
      <w:r w:rsidRPr="00FA621E">
        <w:rPr>
          <w:rFonts w:ascii="Times New Roman" w:hAnsi="Times New Roman" w:cs="Times New Roman"/>
          <w:b/>
          <w:sz w:val="24"/>
          <w:szCs w:val="24"/>
        </w:rPr>
        <w:t>3. Project Objectives</w:t>
      </w:r>
    </w:p>
    <w:p w:rsidR="00AA016C" w:rsidRPr="00AA016C" w:rsidRDefault="00AA016C" w:rsidP="00AA016C">
      <w:pPr>
        <w:spacing w:before="100" w:beforeAutospacing="1" w:after="100" w:afterAutospacing="1" w:line="240" w:lineRule="auto"/>
        <w:rPr>
          <w:rFonts w:ascii="Times New Roman" w:eastAsia="Times New Roman" w:hAnsi="Times New Roman" w:cs="Times New Roman"/>
          <w:sz w:val="24"/>
          <w:szCs w:val="24"/>
        </w:rPr>
      </w:pPr>
      <w:r w:rsidRPr="00AA016C">
        <w:rPr>
          <w:rFonts w:ascii="Times New Roman" w:eastAsia="Times New Roman" w:hAnsi="Times New Roman" w:cs="Times New Roman"/>
          <w:sz w:val="24"/>
          <w:szCs w:val="24"/>
        </w:rPr>
        <w:t>The primary objectives of this project are:</w:t>
      </w:r>
    </w:p>
    <w:p w:rsidR="00AA016C" w:rsidRPr="00AA016C" w:rsidRDefault="00AA016C" w:rsidP="00AA016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016C">
        <w:rPr>
          <w:rFonts w:ascii="Times New Roman" w:eastAsia="Times New Roman" w:hAnsi="Times New Roman" w:cs="Times New Roman"/>
          <w:sz w:val="24"/>
          <w:szCs w:val="24"/>
        </w:rPr>
        <w:t xml:space="preserve">To collect and integrate mutual fund datasets from multiple sources. </w:t>
      </w:r>
    </w:p>
    <w:p w:rsidR="00AA016C" w:rsidRPr="00AA016C" w:rsidRDefault="00AA016C" w:rsidP="00AA016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016C">
        <w:rPr>
          <w:rFonts w:ascii="Times New Roman" w:eastAsia="Times New Roman" w:hAnsi="Times New Roman" w:cs="Times New Roman"/>
          <w:sz w:val="24"/>
          <w:szCs w:val="24"/>
        </w:rPr>
        <w:t xml:space="preserve">To design and implement an ETL pipeline for data cleaning and transformation. </w:t>
      </w:r>
    </w:p>
    <w:p w:rsidR="00AA016C" w:rsidRPr="00AA016C" w:rsidRDefault="00AA016C" w:rsidP="00AA016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016C">
        <w:rPr>
          <w:rFonts w:ascii="Times New Roman" w:eastAsia="Times New Roman" w:hAnsi="Times New Roman" w:cs="Times New Roman"/>
          <w:sz w:val="24"/>
          <w:szCs w:val="24"/>
        </w:rPr>
        <w:t xml:space="preserve">To perform Exploratory Data Analysis (EDA) to identify trends and patterns. </w:t>
      </w:r>
    </w:p>
    <w:p w:rsidR="00AA016C" w:rsidRPr="00AA016C" w:rsidRDefault="00AA016C" w:rsidP="00AA016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016C">
        <w:rPr>
          <w:rFonts w:ascii="Times New Roman" w:eastAsia="Times New Roman" w:hAnsi="Times New Roman" w:cs="Times New Roman"/>
          <w:sz w:val="24"/>
          <w:szCs w:val="24"/>
        </w:rPr>
        <w:t xml:space="preserve">To analyze mutual fund performance using key financial metrics. </w:t>
      </w:r>
    </w:p>
    <w:p w:rsidR="00AA016C" w:rsidRPr="00AA016C" w:rsidRDefault="00AA016C" w:rsidP="00AA016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016C">
        <w:rPr>
          <w:rFonts w:ascii="Times New Roman" w:eastAsia="Times New Roman" w:hAnsi="Times New Roman" w:cs="Times New Roman"/>
          <w:sz w:val="24"/>
          <w:szCs w:val="24"/>
        </w:rPr>
        <w:t xml:space="preserve">To calculate advanced risk metrics such as </w:t>
      </w:r>
      <w:proofErr w:type="spellStart"/>
      <w:r w:rsidRPr="00AA016C">
        <w:rPr>
          <w:rFonts w:ascii="Times New Roman" w:eastAsia="Times New Roman" w:hAnsi="Times New Roman" w:cs="Times New Roman"/>
          <w:sz w:val="24"/>
          <w:szCs w:val="24"/>
        </w:rPr>
        <w:t>VaR</w:t>
      </w:r>
      <w:proofErr w:type="spellEnd"/>
      <w:r w:rsidRPr="00AA016C">
        <w:rPr>
          <w:rFonts w:ascii="Times New Roman" w:eastAsia="Times New Roman" w:hAnsi="Times New Roman" w:cs="Times New Roman"/>
          <w:sz w:val="24"/>
          <w:szCs w:val="24"/>
        </w:rPr>
        <w:t xml:space="preserve">, </w:t>
      </w:r>
      <w:proofErr w:type="spellStart"/>
      <w:r w:rsidRPr="00AA016C">
        <w:rPr>
          <w:rFonts w:ascii="Times New Roman" w:eastAsia="Times New Roman" w:hAnsi="Times New Roman" w:cs="Times New Roman"/>
          <w:sz w:val="24"/>
          <w:szCs w:val="24"/>
        </w:rPr>
        <w:t>CVaR</w:t>
      </w:r>
      <w:proofErr w:type="spellEnd"/>
      <w:r w:rsidRPr="00AA016C">
        <w:rPr>
          <w:rFonts w:ascii="Times New Roman" w:eastAsia="Times New Roman" w:hAnsi="Times New Roman" w:cs="Times New Roman"/>
          <w:sz w:val="24"/>
          <w:szCs w:val="24"/>
        </w:rPr>
        <w:t xml:space="preserve">, Sharpe Ratio, and Maximum Drawdown. </w:t>
      </w:r>
    </w:p>
    <w:p w:rsidR="00AA016C" w:rsidRPr="00AA016C" w:rsidRDefault="00AA016C" w:rsidP="00AA016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016C">
        <w:rPr>
          <w:rFonts w:ascii="Times New Roman" w:eastAsia="Times New Roman" w:hAnsi="Times New Roman" w:cs="Times New Roman"/>
          <w:sz w:val="24"/>
          <w:szCs w:val="24"/>
        </w:rPr>
        <w:t xml:space="preserve">To study investor behavior using demographic and transaction data. </w:t>
      </w:r>
    </w:p>
    <w:p w:rsidR="00AA016C" w:rsidRPr="00AA016C" w:rsidRDefault="00AA016C" w:rsidP="00AA016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016C">
        <w:rPr>
          <w:rFonts w:ascii="Times New Roman" w:eastAsia="Times New Roman" w:hAnsi="Times New Roman" w:cs="Times New Roman"/>
          <w:sz w:val="24"/>
          <w:szCs w:val="24"/>
        </w:rPr>
        <w:t xml:space="preserve">To develop an interactive Power BI dashboard for business intelligence and reporting. </w:t>
      </w:r>
    </w:p>
    <w:p w:rsidR="00F6757F" w:rsidRDefault="00AA016C" w:rsidP="00F6757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016C">
        <w:rPr>
          <w:rFonts w:ascii="Times New Roman" w:eastAsia="Times New Roman" w:hAnsi="Times New Roman" w:cs="Times New Roman"/>
          <w:sz w:val="24"/>
          <w:szCs w:val="24"/>
        </w:rPr>
        <w:t>To generate actionable insights that support investment decision-making.</w:t>
      </w:r>
    </w:p>
    <w:p w:rsidR="00AA016C" w:rsidRDefault="00AA016C" w:rsidP="00AA016C">
      <w:pPr>
        <w:spacing w:before="100" w:beforeAutospacing="1" w:after="100" w:afterAutospacing="1" w:line="240" w:lineRule="auto"/>
        <w:rPr>
          <w:rFonts w:ascii="Times New Roman" w:eastAsia="Times New Roman" w:hAnsi="Times New Roman" w:cs="Times New Roman"/>
          <w:sz w:val="24"/>
          <w:szCs w:val="24"/>
        </w:rPr>
      </w:pPr>
    </w:p>
    <w:p w:rsidR="00F6757F" w:rsidRPr="00FA621E" w:rsidRDefault="00F6757F" w:rsidP="00F6757F">
      <w:pPr>
        <w:rPr>
          <w:rFonts w:ascii="Times New Roman" w:hAnsi="Times New Roman" w:cs="Times New Roman"/>
          <w:b/>
          <w:sz w:val="24"/>
          <w:szCs w:val="24"/>
        </w:rPr>
      </w:pPr>
      <w:r w:rsidRPr="00FA621E">
        <w:rPr>
          <w:rFonts w:ascii="Times New Roman" w:hAnsi="Times New Roman" w:cs="Times New Roman"/>
          <w:b/>
          <w:sz w:val="24"/>
          <w:szCs w:val="24"/>
        </w:rPr>
        <w:t>4. Data Sources</w:t>
      </w:r>
    </w:p>
    <w:p w:rsidR="00AA016C" w:rsidRPr="00AA016C" w:rsidRDefault="00AA016C" w:rsidP="00AA016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w:t>
      </w:r>
      <w:r w:rsidRPr="00AA016C">
        <w:rPr>
          <w:rFonts w:ascii="Times New Roman" w:eastAsia="Times New Roman" w:hAnsi="Times New Roman" w:cs="Times New Roman"/>
          <w:sz w:val="24"/>
          <w:szCs w:val="24"/>
        </w:rPr>
        <w:t xml:space="preserve"> project utilizes multiple datasets related to mutual fund operations and investor activities.</w:t>
      </w:r>
    </w:p>
    <w:tbl>
      <w:tblPr>
        <w:tblW w:w="0" w:type="auto"/>
        <w:tblCellSpacing w:w="15" w:type="dxa"/>
        <w:tblCellMar>
          <w:top w:w="15" w:type="dxa"/>
          <w:left w:w="15" w:type="dxa"/>
          <w:bottom w:w="15" w:type="dxa"/>
          <w:right w:w="15" w:type="dxa"/>
        </w:tblCellMar>
        <w:tblLook w:val="04A0"/>
      </w:tblPr>
      <w:tblGrid>
        <w:gridCol w:w="1997"/>
        <w:gridCol w:w="7453"/>
      </w:tblGrid>
      <w:tr w:rsidR="00AA016C" w:rsidRPr="00AA016C" w:rsidTr="00AA016C">
        <w:trPr>
          <w:tblHeader/>
          <w:tblCellSpacing w:w="15" w:type="dxa"/>
        </w:trPr>
        <w:tc>
          <w:tcPr>
            <w:tcW w:w="0" w:type="auto"/>
            <w:vAlign w:val="center"/>
            <w:hideMark/>
          </w:tcPr>
          <w:p w:rsidR="00AA016C" w:rsidRPr="00AA016C" w:rsidRDefault="00AA016C" w:rsidP="00AA016C">
            <w:pPr>
              <w:spacing w:after="0" w:line="240" w:lineRule="auto"/>
              <w:jc w:val="center"/>
              <w:rPr>
                <w:rFonts w:ascii="Times New Roman" w:eastAsia="Times New Roman" w:hAnsi="Times New Roman" w:cs="Times New Roman"/>
                <w:b/>
                <w:bCs/>
                <w:sz w:val="24"/>
                <w:szCs w:val="24"/>
              </w:rPr>
            </w:pPr>
            <w:r w:rsidRPr="00AA016C">
              <w:rPr>
                <w:rFonts w:ascii="Times New Roman" w:eastAsia="Times New Roman" w:hAnsi="Times New Roman" w:cs="Times New Roman"/>
                <w:b/>
                <w:bCs/>
                <w:sz w:val="24"/>
                <w:szCs w:val="24"/>
              </w:rPr>
              <w:t>Dataset</w:t>
            </w:r>
          </w:p>
        </w:tc>
        <w:tc>
          <w:tcPr>
            <w:tcW w:w="0" w:type="auto"/>
            <w:vAlign w:val="center"/>
            <w:hideMark/>
          </w:tcPr>
          <w:p w:rsidR="00AA016C" w:rsidRPr="00AA016C" w:rsidRDefault="00AA016C" w:rsidP="00AA016C">
            <w:pPr>
              <w:spacing w:after="0" w:line="240" w:lineRule="auto"/>
              <w:jc w:val="center"/>
              <w:rPr>
                <w:rFonts w:ascii="Times New Roman" w:eastAsia="Times New Roman" w:hAnsi="Times New Roman" w:cs="Times New Roman"/>
                <w:b/>
                <w:bCs/>
                <w:sz w:val="24"/>
                <w:szCs w:val="24"/>
              </w:rPr>
            </w:pPr>
            <w:r w:rsidRPr="00AA016C">
              <w:rPr>
                <w:rFonts w:ascii="Times New Roman" w:eastAsia="Times New Roman" w:hAnsi="Times New Roman" w:cs="Times New Roman"/>
                <w:b/>
                <w:bCs/>
                <w:sz w:val="24"/>
                <w:szCs w:val="24"/>
              </w:rPr>
              <w:t>Description</w:t>
            </w:r>
          </w:p>
        </w:tc>
      </w:tr>
      <w:tr w:rsidR="00AA016C" w:rsidRPr="00AA016C" w:rsidTr="00AA016C">
        <w:trPr>
          <w:tblCellSpacing w:w="15" w:type="dxa"/>
        </w:trPr>
        <w:tc>
          <w:tcPr>
            <w:tcW w:w="0" w:type="auto"/>
            <w:vAlign w:val="center"/>
            <w:hideMark/>
          </w:tcPr>
          <w:p w:rsidR="00AA016C" w:rsidRPr="00AA016C" w:rsidRDefault="00AA016C" w:rsidP="00AA016C">
            <w:pPr>
              <w:spacing w:after="0" w:line="240" w:lineRule="auto"/>
              <w:rPr>
                <w:rFonts w:ascii="Times New Roman" w:eastAsia="Times New Roman" w:hAnsi="Times New Roman" w:cs="Times New Roman"/>
                <w:sz w:val="24"/>
                <w:szCs w:val="24"/>
              </w:rPr>
            </w:pPr>
            <w:r w:rsidRPr="00AA016C">
              <w:rPr>
                <w:rFonts w:ascii="Times New Roman" w:eastAsia="Times New Roman" w:hAnsi="Times New Roman" w:cs="Times New Roman"/>
                <w:sz w:val="24"/>
                <w:szCs w:val="24"/>
              </w:rPr>
              <w:t>Fund Master</w:t>
            </w:r>
          </w:p>
        </w:tc>
        <w:tc>
          <w:tcPr>
            <w:tcW w:w="0" w:type="auto"/>
            <w:vAlign w:val="center"/>
            <w:hideMark/>
          </w:tcPr>
          <w:p w:rsidR="00AA016C" w:rsidRPr="00AA016C" w:rsidRDefault="00AA016C" w:rsidP="00AA016C">
            <w:pPr>
              <w:spacing w:after="0" w:line="240" w:lineRule="auto"/>
              <w:rPr>
                <w:rFonts w:ascii="Times New Roman" w:eastAsia="Times New Roman" w:hAnsi="Times New Roman" w:cs="Times New Roman"/>
                <w:sz w:val="24"/>
                <w:szCs w:val="24"/>
              </w:rPr>
            </w:pPr>
            <w:r w:rsidRPr="00AA016C">
              <w:rPr>
                <w:rFonts w:ascii="Times New Roman" w:eastAsia="Times New Roman" w:hAnsi="Times New Roman" w:cs="Times New Roman"/>
                <w:sz w:val="24"/>
                <w:szCs w:val="24"/>
              </w:rPr>
              <w:t>Contains scheme-level information including fund house, category, and plan type.</w:t>
            </w:r>
          </w:p>
        </w:tc>
      </w:tr>
      <w:tr w:rsidR="00AA016C" w:rsidRPr="00AA016C" w:rsidTr="00AA016C">
        <w:trPr>
          <w:tblCellSpacing w:w="15" w:type="dxa"/>
        </w:trPr>
        <w:tc>
          <w:tcPr>
            <w:tcW w:w="0" w:type="auto"/>
            <w:vAlign w:val="center"/>
            <w:hideMark/>
          </w:tcPr>
          <w:p w:rsidR="00AA016C" w:rsidRPr="00AA016C" w:rsidRDefault="00AA016C" w:rsidP="00AA016C">
            <w:pPr>
              <w:spacing w:after="0" w:line="240" w:lineRule="auto"/>
              <w:rPr>
                <w:rFonts w:ascii="Times New Roman" w:eastAsia="Times New Roman" w:hAnsi="Times New Roman" w:cs="Times New Roman"/>
                <w:sz w:val="24"/>
                <w:szCs w:val="24"/>
              </w:rPr>
            </w:pPr>
            <w:r w:rsidRPr="00AA016C">
              <w:rPr>
                <w:rFonts w:ascii="Times New Roman" w:eastAsia="Times New Roman" w:hAnsi="Times New Roman" w:cs="Times New Roman"/>
                <w:sz w:val="24"/>
                <w:szCs w:val="24"/>
              </w:rPr>
              <w:t>NAV History</w:t>
            </w:r>
          </w:p>
        </w:tc>
        <w:tc>
          <w:tcPr>
            <w:tcW w:w="0" w:type="auto"/>
            <w:vAlign w:val="center"/>
            <w:hideMark/>
          </w:tcPr>
          <w:p w:rsidR="00AA016C" w:rsidRPr="00AA016C" w:rsidRDefault="00AA016C" w:rsidP="00AA016C">
            <w:pPr>
              <w:spacing w:after="0" w:line="240" w:lineRule="auto"/>
              <w:rPr>
                <w:rFonts w:ascii="Times New Roman" w:eastAsia="Times New Roman" w:hAnsi="Times New Roman" w:cs="Times New Roman"/>
                <w:sz w:val="24"/>
                <w:szCs w:val="24"/>
              </w:rPr>
            </w:pPr>
            <w:r w:rsidRPr="00AA016C">
              <w:rPr>
                <w:rFonts w:ascii="Times New Roman" w:eastAsia="Times New Roman" w:hAnsi="Times New Roman" w:cs="Times New Roman"/>
                <w:sz w:val="24"/>
                <w:szCs w:val="24"/>
              </w:rPr>
              <w:t>Historical Net Asset Value (NAV) records used for return calculations.</w:t>
            </w:r>
          </w:p>
        </w:tc>
      </w:tr>
      <w:tr w:rsidR="00AA016C" w:rsidRPr="00AA016C" w:rsidTr="00AA016C">
        <w:trPr>
          <w:tblCellSpacing w:w="15" w:type="dxa"/>
        </w:trPr>
        <w:tc>
          <w:tcPr>
            <w:tcW w:w="0" w:type="auto"/>
            <w:vAlign w:val="center"/>
            <w:hideMark/>
          </w:tcPr>
          <w:p w:rsidR="00AA016C" w:rsidRPr="00AA016C" w:rsidRDefault="00AA016C" w:rsidP="00AA016C">
            <w:pPr>
              <w:spacing w:after="0" w:line="240" w:lineRule="auto"/>
              <w:rPr>
                <w:rFonts w:ascii="Times New Roman" w:eastAsia="Times New Roman" w:hAnsi="Times New Roman" w:cs="Times New Roman"/>
                <w:sz w:val="24"/>
                <w:szCs w:val="24"/>
              </w:rPr>
            </w:pPr>
            <w:r w:rsidRPr="00AA016C">
              <w:rPr>
                <w:rFonts w:ascii="Times New Roman" w:eastAsia="Times New Roman" w:hAnsi="Times New Roman" w:cs="Times New Roman"/>
                <w:sz w:val="24"/>
                <w:szCs w:val="24"/>
              </w:rPr>
              <w:t>AUM by Fund House</w:t>
            </w:r>
          </w:p>
        </w:tc>
        <w:tc>
          <w:tcPr>
            <w:tcW w:w="0" w:type="auto"/>
            <w:vAlign w:val="center"/>
            <w:hideMark/>
          </w:tcPr>
          <w:p w:rsidR="00AA016C" w:rsidRPr="00AA016C" w:rsidRDefault="00AA016C" w:rsidP="00AA016C">
            <w:pPr>
              <w:spacing w:after="0" w:line="240" w:lineRule="auto"/>
              <w:rPr>
                <w:rFonts w:ascii="Times New Roman" w:eastAsia="Times New Roman" w:hAnsi="Times New Roman" w:cs="Times New Roman"/>
                <w:sz w:val="24"/>
                <w:szCs w:val="24"/>
              </w:rPr>
            </w:pPr>
            <w:r w:rsidRPr="00AA016C">
              <w:rPr>
                <w:rFonts w:ascii="Times New Roman" w:eastAsia="Times New Roman" w:hAnsi="Times New Roman" w:cs="Times New Roman"/>
                <w:sz w:val="24"/>
                <w:szCs w:val="24"/>
              </w:rPr>
              <w:t>Assets Under Management data for different fund houses.</w:t>
            </w:r>
          </w:p>
        </w:tc>
      </w:tr>
      <w:tr w:rsidR="00AA016C" w:rsidRPr="00AA016C" w:rsidTr="00AA016C">
        <w:trPr>
          <w:tblCellSpacing w:w="15" w:type="dxa"/>
        </w:trPr>
        <w:tc>
          <w:tcPr>
            <w:tcW w:w="0" w:type="auto"/>
            <w:vAlign w:val="center"/>
            <w:hideMark/>
          </w:tcPr>
          <w:p w:rsidR="00AA016C" w:rsidRPr="00AA016C" w:rsidRDefault="00AA016C" w:rsidP="00AA016C">
            <w:pPr>
              <w:spacing w:after="0" w:line="240" w:lineRule="auto"/>
              <w:rPr>
                <w:rFonts w:ascii="Times New Roman" w:eastAsia="Times New Roman" w:hAnsi="Times New Roman" w:cs="Times New Roman"/>
                <w:sz w:val="24"/>
                <w:szCs w:val="24"/>
              </w:rPr>
            </w:pPr>
            <w:r w:rsidRPr="00AA016C">
              <w:rPr>
                <w:rFonts w:ascii="Times New Roman" w:eastAsia="Times New Roman" w:hAnsi="Times New Roman" w:cs="Times New Roman"/>
                <w:sz w:val="24"/>
                <w:szCs w:val="24"/>
              </w:rPr>
              <w:t>Monthly SIP Inflows</w:t>
            </w:r>
          </w:p>
        </w:tc>
        <w:tc>
          <w:tcPr>
            <w:tcW w:w="0" w:type="auto"/>
            <w:vAlign w:val="center"/>
            <w:hideMark/>
          </w:tcPr>
          <w:p w:rsidR="00AA016C" w:rsidRPr="00AA016C" w:rsidRDefault="00AA016C" w:rsidP="00AA016C">
            <w:pPr>
              <w:spacing w:after="0" w:line="240" w:lineRule="auto"/>
              <w:rPr>
                <w:rFonts w:ascii="Times New Roman" w:eastAsia="Times New Roman" w:hAnsi="Times New Roman" w:cs="Times New Roman"/>
                <w:sz w:val="24"/>
                <w:szCs w:val="24"/>
              </w:rPr>
            </w:pPr>
            <w:r w:rsidRPr="00AA016C">
              <w:rPr>
                <w:rFonts w:ascii="Times New Roman" w:eastAsia="Times New Roman" w:hAnsi="Times New Roman" w:cs="Times New Roman"/>
                <w:sz w:val="24"/>
                <w:szCs w:val="24"/>
              </w:rPr>
              <w:t>Monthly SIP contribution statistics across the industry.</w:t>
            </w:r>
          </w:p>
        </w:tc>
      </w:tr>
      <w:tr w:rsidR="00AA016C" w:rsidRPr="00AA016C" w:rsidTr="00AA016C">
        <w:trPr>
          <w:tblCellSpacing w:w="15" w:type="dxa"/>
        </w:trPr>
        <w:tc>
          <w:tcPr>
            <w:tcW w:w="0" w:type="auto"/>
            <w:vAlign w:val="center"/>
            <w:hideMark/>
          </w:tcPr>
          <w:p w:rsidR="00AA016C" w:rsidRPr="00AA016C" w:rsidRDefault="00AA016C" w:rsidP="00AA016C">
            <w:pPr>
              <w:spacing w:after="0" w:line="240" w:lineRule="auto"/>
              <w:rPr>
                <w:rFonts w:ascii="Times New Roman" w:eastAsia="Times New Roman" w:hAnsi="Times New Roman" w:cs="Times New Roman"/>
                <w:sz w:val="24"/>
                <w:szCs w:val="24"/>
              </w:rPr>
            </w:pPr>
            <w:r w:rsidRPr="00AA016C">
              <w:rPr>
                <w:rFonts w:ascii="Times New Roman" w:eastAsia="Times New Roman" w:hAnsi="Times New Roman" w:cs="Times New Roman"/>
                <w:sz w:val="24"/>
                <w:szCs w:val="24"/>
              </w:rPr>
              <w:t>Category Inflows</w:t>
            </w:r>
          </w:p>
        </w:tc>
        <w:tc>
          <w:tcPr>
            <w:tcW w:w="0" w:type="auto"/>
            <w:vAlign w:val="center"/>
            <w:hideMark/>
          </w:tcPr>
          <w:p w:rsidR="00AA016C" w:rsidRPr="00AA016C" w:rsidRDefault="00AA016C" w:rsidP="00AA016C">
            <w:pPr>
              <w:spacing w:after="0" w:line="240" w:lineRule="auto"/>
              <w:rPr>
                <w:rFonts w:ascii="Times New Roman" w:eastAsia="Times New Roman" w:hAnsi="Times New Roman" w:cs="Times New Roman"/>
                <w:sz w:val="24"/>
                <w:szCs w:val="24"/>
              </w:rPr>
            </w:pPr>
            <w:r w:rsidRPr="00AA016C">
              <w:rPr>
                <w:rFonts w:ascii="Times New Roman" w:eastAsia="Times New Roman" w:hAnsi="Times New Roman" w:cs="Times New Roman"/>
                <w:sz w:val="24"/>
                <w:szCs w:val="24"/>
              </w:rPr>
              <w:t>Net inflows and outflows by mutual fund category.</w:t>
            </w:r>
          </w:p>
        </w:tc>
      </w:tr>
      <w:tr w:rsidR="00AA016C" w:rsidRPr="00AA016C" w:rsidTr="00AA016C">
        <w:trPr>
          <w:tblCellSpacing w:w="15" w:type="dxa"/>
        </w:trPr>
        <w:tc>
          <w:tcPr>
            <w:tcW w:w="0" w:type="auto"/>
            <w:vAlign w:val="center"/>
            <w:hideMark/>
          </w:tcPr>
          <w:p w:rsidR="00AA016C" w:rsidRPr="00AA016C" w:rsidRDefault="00AA016C" w:rsidP="00AA016C">
            <w:pPr>
              <w:spacing w:after="0" w:line="240" w:lineRule="auto"/>
              <w:rPr>
                <w:rFonts w:ascii="Times New Roman" w:eastAsia="Times New Roman" w:hAnsi="Times New Roman" w:cs="Times New Roman"/>
                <w:sz w:val="24"/>
                <w:szCs w:val="24"/>
              </w:rPr>
            </w:pPr>
            <w:r w:rsidRPr="00AA016C">
              <w:rPr>
                <w:rFonts w:ascii="Times New Roman" w:eastAsia="Times New Roman" w:hAnsi="Times New Roman" w:cs="Times New Roman"/>
                <w:sz w:val="24"/>
                <w:szCs w:val="24"/>
              </w:rPr>
              <w:t>Investor Transactions</w:t>
            </w:r>
          </w:p>
        </w:tc>
        <w:tc>
          <w:tcPr>
            <w:tcW w:w="0" w:type="auto"/>
            <w:vAlign w:val="center"/>
            <w:hideMark/>
          </w:tcPr>
          <w:p w:rsidR="00AA016C" w:rsidRPr="00AA016C" w:rsidRDefault="00AA016C" w:rsidP="00AA016C">
            <w:pPr>
              <w:spacing w:after="0" w:line="240" w:lineRule="auto"/>
              <w:rPr>
                <w:rFonts w:ascii="Times New Roman" w:eastAsia="Times New Roman" w:hAnsi="Times New Roman" w:cs="Times New Roman"/>
                <w:sz w:val="24"/>
                <w:szCs w:val="24"/>
              </w:rPr>
            </w:pPr>
            <w:r w:rsidRPr="00AA016C">
              <w:rPr>
                <w:rFonts w:ascii="Times New Roman" w:eastAsia="Times New Roman" w:hAnsi="Times New Roman" w:cs="Times New Roman"/>
                <w:sz w:val="24"/>
                <w:szCs w:val="24"/>
              </w:rPr>
              <w:t>Transaction-level investor activity including SIPs, redemptions, and lump-sum investments.</w:t>
            </w:r>
          </w:p>
        </w:tc>
      </w:tr>
      <w:tr w:rsidR="00AA016C" w:rsidRPr="00AA016C" w:rsidTr="00AA016C">
        <w:trPr>
          <w:tblCellSpacing w:w="15" w:type="dxa"/>
        </w:trPr>
        <w:tc>
          <w:tcPr>
            <w:tcW w:w="0" w:type="auto"/>
            <w:vAlign w:val="center"/>
            <w:hideMark/>
          </w:tcPr>
          <w:p w:rsidR="00AA016C" w:rsidRPr="00AA016C" w:rsidRDefault="00AA016C" w:rsidP="00AA016C">
            <w:pPr>
              <w:spacing w:after="0" w:line="240" w:lineRule="auto"/>
              <w:rPr>
                <w:rFonts w:ascii="Times New Roman" w:eastAsia="Times New Roman" w:hAnsi="Times New Roman" w:cs="Times New Roman"/>
                <w:sz w:val="24"/>
                <w:szCs w:val="24"/>
              </w:rPr>
            </w:pPr>
            <w:r w:rsidRPr="00AA016C">
              <w:rPr>
                <w:rFonts w:ascii="Times New Roman" w:eastAsia="Times New Roman" w:hAnsi="Times New Roman" w:cs="Times New Roman"/>
                <w:sz w:val="24"/>
                <w:szCs w:val="24"/>
              </w:rPr>
              <w:t>Portfolio Holdings</w:t>
            </w:r>
          </w:p>
        </w:tc>
        <w:tc>
          <w:tcPr>
            <w:tcW w:w="0" w:type="auto"/>
            <w:vAlign w:val="center"/>
            <w:hideMark/>
          </w:tcPr>
          <w:p w:rsidR="00AA016C" w:rsidRPr="00AA016C" w:rsidRDefault="00AA016C" w:rsidP="00AA016C">
            <w:pPr>
              <w:spacing w:after="0" w:line="240" w:lineRule="auto"/>
              <w:rPr>
                <w:rFonts w:ascii="Times New Roman" w:eastAsia="Times New Roman" w:hAnsi="Times New Roman" w:cs="Times New Roman"/>
                <w:sz w:val="24"/>
                <w:szCs w:val="24"/>
              </w:rPr>
            </w:pPr>
            <w:r w:rsidRPr="00AA016C">
              <w:rPr>
                <w:rFonts w:ascii="Times New Roman" w:eastAsia="Times New Roman" w:hAnsi="Times New Roman" w:cs="Times New Roman"/>
                <w:sz w:val="24"/>
                <w:szCs w:val="24"/>
              </w:rPr>
              <w:t>Equity holdings and sector allocations of mutual funds.</w:t>
            </w:r>
          </w:p>
        </w:tc>
      </w:tr>
      <w:tr w:rsidR="00AA016C" w:rsidRPr="00AA016C" w:rsidTr="00AA016C">
        <w:trPr>
          <w:tblCellSpacing w:w="15" w:type="dxa"/>
        </w:trPr>
        <w:tc>
          <w:tcPr>
            <w:tcW w:w="0" w:type="auto"/>
            <w:vAlign w:val="center"/>
            <w:hideMark/>
          </w:tcPr>
          <w:p w:rsidR="00AA016C" w:rsidRPr="00AA016C" w:rsidRDefault="00AA016C" w:rsidP="00AA016C">
            <w:pPr>
              <w:spacing w:after="0" w:line="240" w:lineRule="auto"/>
              <w:rPr>
                <w:rFonts w:ascii="Times New Roman" w:eastAsia="Times New Roman" w:hAnsi="Times New Roman" w:cs="Times New Roman"/>
                <w:sz w:val="24"/>
                <w:szCs w:val="24"/>
              </w:rPr>
            </w:pPr>
            <w:r w:rsidRPr="00AA016C">
              <w:rPr>
                <w:rFonts w:ascii="Times New Roman" w:eastAsia="Times New Roman" w:hAnsi="Times New Roman" w:cs="Times New Roman"/>
                <w:sz w:val="24"/>
                <w:szCs w:val="24"/>
              </w:rPr>
              <w:t>Scheme Performance</w:t>
            </w:r>
          </w:p>
        </w:tc>
        <w:tc>
          <w:tcPr>
            <w:tcW w:w="0" w:type="auto"/>
            <w:vAlign w:val="center"/>
            <w:hideMark/>
          </w:tcPr>
          <w:p w:rsidR="00AA016C" w:rsidRPr="00AA016C" w:rsidRDefault="00AA016C" w:rsidP="00AA016C">
            <w:pPr>
              <w:spacing w:after="0" w:line="240" w:lineRule="auto"/>
              <w:rPr>
                <w:rFonts w:ascii="Times New Roman" w:eastAsia="Times New Roman" w:hAnsi="Times New Roman" w:cs="Times New Roman"/>
                <w:sz w:val="24"/>
                <w:szCs w:val="24"/>
              </w:rPr>
            </w:pPr>
            <w:r w:rsidRPr="00AA016C">
              <w:rPr>
                <w:rFonts w:ascii="Times New Roman" w:eastAsia="Times New Roman" w:hAnsi="Times New Roman" w:cs="Times New Roman"/>
                <w:sz w:val="24"/>
                <w:szCs w:val="24"/>
              </w:rPr>
              <w:t>Performance metrics including returns, Sharpe Ratio, Alpha, Beta, and risk grades.</w:t>
            </w:r>
          </w:p>
        </w:tc>
      </w:tr>
    </w:tbl>
    <w:p w:rsidR="00AA016C" w:rsidRDefault="00AA016C" w:rsidP="00F6757F">
      <w:pPr>
        <w:rPr>
          <w:rFonts w:ascii="Times New Roman" w:hAnsi="Times New Roman" w:cs="Times New Roman"/>
          <w:sz w:val="24"/>
          <w:szCs w:val="24"/>
        </w:rPr>
      </w:pPr>
    </w:p>
    <w:p w:rsidR="00AA016C" w:rsidRDefault="00AA016C" w:rsidP="00F6757F">
      <w:pPr>
        <w:rPr>
          <w:rFonts w:ascii="Times New Roman" w:hAnsi="Times New Roman" w:cs="Times New Roman"/>
          <w:sz w:val="24"/>
          <w:szCs w:val="24"/>
        </w:rPr>
      </w:pPr>
    </w:p>
    <w:p w:rsidR="00F6757F" w:rsidRPr="00FA621E" w:rsidRDefault="00F6757F" w:rsidP="00F6757F">
      <w:pPr>
        <w:rPr>
          <w:rFonts w:ascii="Times New Roman" w:hAnsi="Times New Roman" w:cs="Times New Roman"/>
          <w:b/>
          <w:sz w:val="24"/>
          <w:szCs w:val="24"/>
        </w:rPr>
      </w:pPr>
      <w:r w:rsidRPr="00FA621E">
        <w:rPr>
          <w:rFonts w:ascii="Times New Roman" w:hAnsi="Times New Roman" w:cs="Times New Roman"/>
          <w:b/>
          <w:sz w:val="24"/>
          <w:szCs w:val="24"/>
        </w:rPr>
        <w:lastRenderedPageBreak/>
        <w:t>5. ETL Pipeline Design</w:t>
      </w:r>
    </w:p>
    <w:p w:rsidR="00AA016C" w:rsidRPr="00AA016C" w:rsidRDefault="00AA016C" w:rsidP="00AA016C">
      <w:pPr>
        <w:spacing w:before="100" w:beforeAutospacing="1" w:after="100" w:afterAutospacing="1" w:line="240" w:lineRule="auto"/>
        <w:rPr>
          <w:rFonts w:ascii="Times New Roman" w:eastAsia="Times New Roman" w:hAnsi="Times New Roman" w:cs="Times New Roman"/>
          <w:sz w:val="24"/>
          <w:szCs w:val="24"/>
        </w:rPr>
      </w:pPr>
      <w:r w:rsidRPr="00AA016C">
        <w:rPr>
          <w:rFonts w:ascii="Times New Roman" w:eastAsia="Times New Roman" w:hAnsi="Times New Roman" w:cs="Times New Roman"/>
          <w:sz w:val="24"/>
          <w:szCs w:val="24"/>
        </w:rPr>
        <w:t>The project follows a structured Extract, Transform, and Load (ETL) process to convert raw datasets into analysis-ready data.</w:t>
      </w:r>
    </w:p>
    <w:p w:rsidR="00AA016C" w:rsidRPr="00AA016C" w:rsidRDefault="00AA016C" w:rsidP="00AA016C">
      <w:pPr>
        <w:spacing w:before="100" w:beforeAutospacing="1" w:after="100" w:afterAutospacing="1" w:line="240" w:lineRule="auto"/>
        <w:outlineLvl w:val="3"/>
        <w:rPr>
          <w:rFonts w:ascii="Times New Roman" w:eastAsia="Times New Roman" w:hAnsi="Times New Roman" w:cs="Times New Roman"/>
          <w:b/>
          <w:bCs/>
          <w:sz w:val="24"/>
          <w:szCs w:val="24"/>
        </w:rPr>
      </w:pPr>
      <w:r w:rsidRPr="00AA016C">
        <w:rPr>
          <w:rFonts w:ascii="Times New Roman" w:eastAsia="Times New Roman" w:hAnsi="Times New Roman" w:cs="Times New Roman"/>
          <w:b/>
          <w:bCs/>
          <w:sz w:val="24"/>
          <w:szCs w:val="24"/>
        </w:rPr>
        <w:t>Extract</w:t>
      </w:r>
    </w:p>
    <w:p w:rsidR="00AA016C" w:rsidRPr="00AA016C" w:rsidRDefault="00AA016C" w:rsidP="00AA016C">
      <w:pPr>
        <w:spacing w:before="100" w:beforeAutospacing="1" w:after="100" w:afterAutospacing="1" w:line="240" w:lineRule="auto"/>
        <w:rPr>
          <w:rFonts w:ascii="Times New Roman" w:eastAsia="Times New Roman" w:hAnsi="Times New Roman" w:cs="Times New Roman"/>
          <w:sz w:val="24"/>
          <w:szCs w:val="24"/>
        </w:rPr>
      </w:pPr>
      <w:r w:rsidRPr="00AA016C">
        <w:rPr>
          <w:rFonts w:ascii="Times New Roman" w:eastAsia="Times New Roman" w:hAnsi="Times New Roman" w:cs="Times New Roman"/>
          <w:sz w:val="24"/>
          <w:szCs w:val="24"/>
        </w:rPr>
        <w:t>Raw mutual fund datasets were collected and stored in the project's data directory. The datasets included NAV history, investor transactions, scheme performance metrics, portfolio holdings, category inflows, and industry statistics.</w:t>
      </w:r>
    </w:p>
    <w:p w:rsidR="00AA016C" w:rsidRPr="00AA016C" w:rsidRDefault="00AA016C" w:rsidP="00AA016C">
      <w:pPr>
        <w:spacing w:before="100" w:beforeAutospacing="1" w:after="100" w:afterAutospacing="1" w:line="240" w:lineRule="auto"/>
        <w:outlineLvl w:val="3"/>
        <w:rPr>
          <w:rFonts w:ascii="Times New Roman" w:eastAsia="Times New Roman" w:hAnsi="Times New Roman" w:cs="Times New Roman"/>
          <w:b/>
          <w:bCs/>
          <w:sz w:val="24"/>
          <w:szCs w:val="24"/>
        </w:rPr>
      </w:pPr>
      <w:r w:rsidRPr="00AA016C">
        <w:rPr>
          <w:rFonts w:ascii="Times New Roman" w:eastAsia="Times New Roman" w:hAnsi="Times New Roman" w:cs="Times New Roman"/>
          <w:b/>
          <w:bCs/>
          <w:sz w:val="24"/>
          <w:szCs w:val="24"/>
        </w:rPr>
        <w:t>Transform</w:t>
      </w:r>
    </w:p>
    <w:p w:rsidR="00AA016C" w:rsidRPr="00AA016C" w:rsidRDefault="00AA016C" w:rsidP="00AA016C">
      <w:pPr>
        <w:spacing w:before="100" w:beforeAutospacing="1" w:after="100" w:afterAutospacing="1" w:line="240" w:lineRule="auto"/>
        <w:rPr>
          <w:rFonts w:ascii="Times New Roman" w:eastAsia="Times New Roman" w:hAnsi="Times New Roman" w:cs="Times New Roman"/>
          <w:sz w:val="24"/>
          <w:szCs w:val="24"/>
        </w:rPr>
      </w:pPr>
      <w:r w:rsidRPr="00AA016C">
        <w:rPr>
          <w:rFonts w:ascii="Times New Roman" w:eastAsia="Times New Roman" w:hAnsi="Times New Roman" w:cs="Times New Roman"/>
          <w:sz w:val="24"/>
          <w:szCs w:val="24"/>
        </w:rPr>
        <w:t>Data transformation was performed using Python and Pandas. The following cleaning activities were carried out:</w:t>
      </w:r>
    </w:p>
    <w:p w:rsidR="00AA016C" w:rsidRPr="00AA016C" w:rsidRDefault="00AA016C" w:rsidP="00AA016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016C">
        <w:rPr>
          <w:rFonts w:ascii="Times New Roman" w:eastAsia="Times New Roman" w:hAnsi="Times New Roman" w:cs="Times New Roman"/>
          <w:sz w:val="24"/>
          <w:szCs w:val="24"/>
        </w:rPr>
        <w:t xml:space="preserve">Removed duplicate records. </w:t>
      </w:r>
    </w:p>
    <w:p w:rsidR="00AA016C" w:rsidRPr="00AA016C" w:rsidRDefault="00AA016C" w:rsidP="00AA016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016C">
        <w:rPr>
          <w:rFonts w:ascii="Times New Roman" w:eastAsia="Times New Roman" w:hAnsi="Times New Roman" w:cs="Times New Roman"/>
          <w:sz w:val="24"/>
          <w:szCs w:val="24"/>
        </w:rPr>
        <w:t xml:space="preserve">Handled missing and invalid values. </w:t>
      </w:r>
    </w:p>
    <w:p w:rsidR="00AA016C" w:rsidRPr="00AA016C" w:rsidRDefault="00AA016C" w:rsidP="00AA016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016C">
        <w:rPr>
          <w:rFonts w:ascii="Times New Roman" w:eastAsia="Times New Roman" w:hAnsi="Times New Roman" w:cs="Times New Roman"/>
          <w:sz w:val="24"/>
          <w:szCs w:val="24"/>
        </w:rPr>
        <w:t xml:space="preserve">Standardized column names and data formats. </w:t>
      </w:r>
    </w:p>
    <w:p w:rsidR="00AA016C" w:rsidRPr="00AA016C" w:rsidRDefault="00AA016C" w:rsidP="00AA016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016C">
        <w:rPr>
          <w:rFonts w:ascii="Times New Roman" w:eastAsia="Times New Roman" w:hAnsi="Times New Roman" w:cs="Times New Roman"/>
          <w:sz w:val="24"/>
          <w:szCs w:val="24"/>
        </w:rPr>
        <w:t xml:space="preserve">Converted date columns into proper </w:t>
      </w:r>
      <w:proofErr w:type="spellStart"/>
      <w:r w:rsidRPr="00AA016C">
        <w:rPr>
          <w:rFonts w:ascii="Times New Roman" w:eastAsia="Times New Roman" w:hAnsi="Times New Roman" w:cs="Times New Roman"/>
          <w:sz w:val="24"/>
          <w:szCs w:val="24"/>
        </w:rPr>
        <w:t>datetime</w:t>
      </w:r>
      <w:proofErr w:type="spellEnd"/>
      <w:r w:rsidRPr="00AA016C">
        <w:rPr>
          <w:rFonts w:ascii="Times New Roman" w:eastAsia="Times New Roman" w:hAnsi="Times New Roman" w:cs="Times New Roman"/>
          <w:sz w:val="24"/>
          <w:szCs w:val="24"/>
        </w:rPr>
        <w:t xml:space="preserve"> formats. </w:t>
      </w:r>
    </w:p>
    <w:p w:rsidR="00AA016C" w:rsidRPr="00AA016C" w:rsidRDefault="00AA016C" w:rsidP="00AA016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016C">
        <w:rPr>
          <w:rFonts w:ascii="Times New Roman" w:eastAsia="Times New Roman" w:hAnsi="Times New Roman" w:cs="Times New Roman"/>
          <w:sz w:val="24"/>
          <w:szCs w:val="24"/>
        </w:rPr>
        <w:t xml:space="preserve">Validated AMFI codes across datasets. </w:t>
      </w:r>
    </w:p>
    <w:p w:rsidR="00AA016C" w:rsidRPr="00AA016C" w:rsidRDefault="00AA016C" w:rsidP="00AA016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016C">
        <w:rPr>
          <w:rFonts w:ascii="Times New Roman" w:eastAsia="Times New Roman" w:hAnsi="Times New Roman" w:cs="Times New Roman"/>
          <w:sz w:val="24"/>
          <w:szCs w:val="24"/>
        </w:rPr>
        <w:t xml:space="preserve">Created processed datasets for analysis. </w:t>
      </w:r>
    </w:p>
    <w:p w:rsidR="00AA016C" w:rsidRPr="00AA016C" w:rsidRDefault="00AA016C" w:rsidP="00AA016C">
      <w:pPr>
        <w:spacing w:before="100" w:beforeAutospacing="1" w:after="100" w:afterAutospacing="1" w:line="240" w:lineRule="auto"/>
        <w:outlineLvl w:val="3"/>
        <w:rPr>
          <w:rFonts w:ascii="Times New Roman" w:eastAsia="Times New Roman" w:hAnsi="Times New Roman" w:cs="Times New Roman"/>
          <w:b/>
          <w:bCs/>
          <w:sz w:val="24"/>
          <w:szCs w:val="24"/>
        </w:rPr>
      </w:pPr>
      <w:r w:rsidRPr="00AA016C">
        <w:rPr>
          <w:rFonts w:ascii="Times New Roman" w:eastAsia="Times New Roman" w:hAnsi="Times New Roman" w:cs="Times New Roman"/>
          <w:b/>
          <w:bCs/>
          <w:sz w:val="24"/>
          <w:szCs w:val="24"/>
        </w:rPr>
        <w:t>Load</w:t>
      </w:r>
    </w:p>
    <w:p w:rsidR="00AA016C" w:rsidRPr="00AA016C" w:rsidRDefault="00AA016C" w:rsidP="00AA016C">
      <w:pPr>
        <w:spacing w:before="100" w:beforeAutospacing="1" w:after="100" w:afterAutospacing="1" w:line="240" w:lineRule="auto"/>
        <w:rPr>
          <w:rFonts w:ascii="Times New Roman" w:eastAsia="Times New Roman" w:hAnsi="Times New Roman" w:cs="Times New Roman"/>
          <w:sz w:val="24"/>
          <w:szCs w:val="24"/>
        </w:rPr>
      </w:pPr>
      <w:r w:rsidRPr="00AA016C">
        <w:rPr>
          <w:rFonts w:ascii="Times New Roman" w:eastAsia="Times New Roman" w:hAnsi="Times New Roman" w:cs="Times New Roman"/>
          <w:sz w:val="24"/>
          <w:szCs w:val="24"/>
        </w:rPr>
        <w:t xml:space="preserve">The cleaned datasets were stored in the processed data directory and loaded into </w:t>
      </w:r>
      <w:proofErr w:type="spellStart"/>
      <w:r w:rsidRPr="00AA016C">
        <w:rPr>
          <w:rFonts w:ascii="Times New Roman" w:eastAsia="Times New Roman" w:hAnsi="Times New Roman" w:cs="Times New Roman"/>
          <w:sz w:val="24"/>
          <w:szCs w:val="24"/>
        </w:rPr>
        <w:t>Jupyter</w:t>
      </w:r>
      <w:proofErr w:type="spellEnd"/>
      <w:r w:rsidRPr="00AA016C">
        <w:rPr>
          <w:rFonts w:ascii="Times New Roman" w:eastAsia="Times New Roman" w:hAnsi="Times New Roman" w:cs="Times New Roman"/>
          <w:sz w:val="24"/>
          <w:szCs w:val="24"/>
        </w:rPr>
        <w:t xml:space="preserve"> notebooks and Power BI for analytics and visualization.</w:t>
      </w:r>
    </w:p>
    <w:p w:rsidR="00AA016C" w:rsidRPr="00AA016C" w:rsidRDefault="00AA016C" w:rsidP="00AA016C">
      <w:pPr>
        <w:spacing w:before="100" w:beforeAutospacing="1" w:after="100" w:afterAutospacing="1" w:line="240" w:lineRule="auto"/>
        <w:outlineLvl w:val="3"/>
        <w:rPr>
          <w:rFonts w:ascii="Times New Roman" w:eastAsia="Times New Roman" w:hAnsi="Times New Roman" w:cs="Times New Roman"/>
          <w:b/>
          <w:bCs/>
          <w:sz w:val="24"/>
          <w:szCs w:val="24"/>
        </w:rPr>
      </w:pPr>
      <w:r w:rsidRPr="00AA016C">
        <w:rPr>
          <w:rFonts w:ascii="Times New Roman" w:eastAsia="Times New Roman" w:hAnsi="Times New Roman" w:cs="Times New Roman"/>
          <w:b/>
          <w:bCs/>
          <w:sz w:val="24"/>
          <w:szCs w:val="24"/>
        </w:rPr>
        <w:t>ETL Workflow</w:t>
      </w:r>
    </w:p>
    <w:p w:rsidR="00AA016C" w:rsidRPr="00AA016C" w:rsidRDefault="00AA016C" w:rsidP="00AA01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016C">
        <w:rPr>
          <w:rFonts w:ascii="Courier New" w:eastAsia="Times New Roman" w:hAnsi="Courier New" w:cs="Courier New"/>
          <w:sz w:val="20"/>
        </w:rPr>
        <w:t>Raw Data</w:t>
      </w:r>
      <w:r w:rsidRPr="00AA016C">
        <w:rPr>
          <w:rFonts w:ascii="Courier New" w:eastAsia="Times New Roman" w:hAnsi="Courier New" w:cs="Courier New"/>
          <w:sz w:val="20"/>
          <w:szCs w:val="20"/>
        </w:rPr>
        <w:br/>
      </w:r>
      <w:r w:rsidRPr="00AA016C">
        <w:rPr>
          <w:rFonts w:ascii="Courier New" w:eastAsia="Times New Roman" w:hAnsi="Courier New" w:cs="Courier New"/>
          <w:sz w:val="20"/>
        </w:rPr>
        <w:t xml:space="preserve">    ↓</w:t>
      </w:r>
      <w:r w:rsidRPr="00AA016C">
        <w:rPr>
          <w:rFonts w:ascii="Courier New" w:eastAsia="Times New Roman" w:hAnsi="Courier New" w:cs="Courier New"/>
          <w:sz w:val="20"/>
          <w:szCs w:val="20"/>
        </w:rPr>
        <w:br/>
      </w:r>
      <w:r w:rsidRPr="00AA016C">
        <w:rPr>
          <w:rFonts w:ascii="Courier New" w:eastAsia="Times New Roman" w:hAnsi="Courier New" w:cs="Courier New"/>
          <w:sz w:val="20"/>
        </w:rPr>
        <w:t>Data Validation</w:t>
      </w:r>
      <w:r w:rsidRPr="00AA016C">
        <w:rPr>
          <w:rFonts w:ascii="Courier New" w:eastAsia="Times New Roman" w:hAnsi="Courier New" w:cs="Courier New"/>
          <w:sz w:val="20"/>
          <w:szCs w:val="20"/>
        </w:rPr>
        <w:br/>
      </w:r>
      <w:r w:rsidRPr="00AA016C">
        <w:rPr>
          <w:rFonts w:ascii="Courier New" w:eastAsia="Times New Roman" w:hAnsi="Courier New" w:cs="Courier New"/>
          <w:sz w:val="20"/>
        </w:rPr>
        <w:t xml:space="preserve">    ↓</w:t>
      </w:r>
      <w:r w:rsidRPr="00AA016C">
        <w:rPr>
          <w:rFonts w:ascii="Courier New" w:eastAsia="Times New Roman" w:hAnsi="Courier New" w:cs="Courier New"/>
          <w:sz w:val="20"/>
          <w:szCs w:val="20"/>
        </w:rPr>
        <w:br/>
      </w:r>
      <w:r w:rsidRPr="00AA016C">
        <w:rPr>
          <w:rFonts w:ascii="Courier New" w:eastAsia="Times New Roman" w:hAnsi="Courier New" w:cs="Courier New"/>
          <w:sz w:val="20"/>
        </w:rPr>
        <w:t>Data Cleaning</w:t>
      </w:r>
      <w:r w:rsidRPr="00AA016C">
        <w:rPr>
          <w:rFonts w:ascii="Courier New" w:eastAsia="Times New Roman" w:hAnsi="Courier New" w:cs="Courier New"/>
          <w:sz w:val="20"/>
          <w:szCs w:val="20"/>
        </w:rPr>
        <w:br/>
      </w:r>
      <w:r w:rsidRPr="00AA016C">
        <w:rPr>
          <w:rFonts w:ascii="Courier New" w:eastAsia="Times New Roman" w:hAnsi="Courier New" w:cs="Courier New"/>
          <w:sz w:val="20"/>
        </w:rPr>
        <w:t xml:space="preserve">    ↓</w:t>
      </w:r>
      <w:r w:rsidRPr="00AA016C">
        <w:rPr>
          <w:rFonts w:ascii="Courier New" w:eastAsia="Times New Roman" w:hAnsi="Courier New" w:cs="Courier New"/>
          <w:sz w:val="20"/>
          <w:szCs w:val="20"/>
        </w:rPr>
        <w:br/>
      </w:r>
      <w:r w:rsidRPr="00AA016C">
        <w:rPr>
          <w:rFonts w:ascii="Courier New" w:eastAsia="Times New Roman" w:hAnsi="Courier New" w:cs="Courier New"/>
          <w:sz w:val="20"/>
        </w:rPr>
        <w:t>Data Transformation</w:t>
      </w:r>
      <w:r w:rsidRPr="00AA016C">
        <w:rPr>
          <w:rFonts w:ascii="Courier New" w:eastAsia="Times New Roman" w:hAnsi="Courier New" w:cs="Courier New"/>
          <w:sz w:val="20"/>
          <w:szCs w:val="20"/>
        </w:rPr>
        <w:br/>
      </w:r>
      <w:r w:rsidRPr="00AA016C">
        <w:rPr>
          <w:rFonts w:ascii="Courier New" w:eastAsia="Times New Roman" w:hAnsi="Courier New" w:cs="Courier New"/>
          <w:sz w:val="20"/>
        </w:rPr>
        <w:t xml:space="preserve">    ↓</w:t>
      </w:r>
      <w:r w:rsidRPr="00AA016C">
        <w:rPr>
          <w:rFonts w:ascii="Courier New" w:eastAsia="Times New Roman" w:hAnsi="Courier New" w:cs="Courier New"/>
          <w:sz w:val="20"/>
          <w:szCs w:val="20"/>
        </w:rPr>
        <w:br/>
      </w:r>
      <w:r w:rsidRPr="00AA016C">
        <w:rPr>
          <w:rFonts w:ascii="Courier New" w:eastAsia="Times New Roman" w:hAnsi="Courier New" w:cs="Courier New"/>
          <w:sz w:val="20"/>
        </w:rPr>
        <w:t>Processed Datasets</w:t>
      </w:r>
      <w:r w:rsidRPr="00AA016C">
        <w:rPr>
          <w:rFonts w:ascii="Courier New" w:eastAsia="Times New Roman" w:hAnsi="Courier New" w:cs="Courier New"/>
          <w:sz w:val="20"/>
          <w:szCs w:val="20"/>
        </w:rPr>
        <w:br/>
      </w:r>
      <w:r w:rsidRPr="00AA016C">
        <w:rPr>
          <w:rFonts w:ascii="Courier New" w:eastAsia="Times New Roman" w:hAnsi="Courier New" w:cs="Courier New"/>
          <w:sz w:val="20"/>
        </w:rPr>
        <w:t xml:space="preserve">    ↓</w:t>
      </w:r>
      <w:r w:rsidRPr="00AA016C">
        <w:rPr>
          <w:rFonts w:ascii="Courier New" w:eastAsia="Times New Roman" w:hAnsi="Courier New" w:cs="Courier New"/>
          <w:sz w:val="20"/>
          <w:szCs w:val="20"/>
        </w:rPr>
        <w:br/>
      </w:r>
      <w:r w:rsidRPr="00AA016C">
        <w:rPr>
          <w:rFonts w:ascii="Courier New" w:eastAsia="Times New Roman" w:hAnsi="Courier New" w:cs="Courier New"/>
          <w:sz w:val="20"/>
        </w:rPr>
        <w:t>EDA &amp; Analytics</w:t>
      </w:r>
      <w:r w:rsidRPr="00AA016C">
        <w:rPr>
          <w:rFonts w:ascii="Courier New" w:eastAsia="Times New Roman" w:hAnsi="Courier New" w:cs="Courier New"/>
          <w:sz w:val="20"/>
          <w:szCs w:val="20"/>
        </w:rPr>
        <w:br/>
      </w:r>
      <w:r w:rsidRPr="00AA016C">
        <w:rPr>
          <w:rFonts w:ascii="Courier New" w:eastAsia="Times New Roman" w:hAnsi="Courier New" w:cs="Courier New"/>
          <w:sz w:val="20"/>
        </w:rPr>
        <w:t xml:space="preserve">    ↓</w:t>
      </w:r>
      <w:r w:rsidRPr="00AA016C">
        <w:rPr>
          <w:rFonts w:ascii="Courier New" w:eastAsia="Times New Roman" w:hAnsi="Courier New" w:cs="Courier New"/>
          <w:sz w:val="20"/>
          <w:szCs w:val="20"/>
        </w:rPr>
        <w:br/>
      </w:r>
      <w:r w:rsidRPr="00AA016C">
        <w:rPr>
          <w:rFonts w:ascii="Courier New" w:eastAsia="Times New Roman" w:hAnsi="Courier New" w:cs="Courier New"/>
          <w:sz w:val="20"/>
        </w:rPr>
        <w:t>Power BI Dashboard</w:t>
      </w:r>
    </w:p>
    <w:p w:rsidR="00AA016C" w:rsidRPr="00F6757F" w:rsidRDefault="00AA016C" w:rsidP="00F6757F">
      <w:pPr>
        <w:rPr>
          <w:rFonts w:ascii="Times New Roman" w:hAnsi="Times New Roman" w:cs="Times New Roman"/>
          <w:sz w:val="24"/>
          <w:szCs w:val="24"/>
        </w:rPr>
      </w:pPr>
    </w:p>
    <w:p w:rsidR="00F6757F" w:rsidRPr="00F6757F" w:rsidRDefault="00F6757F" w:rsidP="00F6757F">
      <w:pPr>
        <w:rPr>
          <w:rFonts w:ascii="Times New Roman" w:hAnsi="Times New Roman" w:cs="Times New Roman"/>
          <w:sz w:val="24"/>
          <w:szCs w:val="24"/>
        </w:rPr>
      </w:pPr>
    </w:p>
    <w:p w:rsidR="00AA016C" w:rsidRDefault="00AA016C" w:rsidP="00F6757F">
      <w:pPr>
        <w:rPr>
          <w:rFonts w:ascii="Times New Roman" w:hAnsi="Times New Roman" w:cs="Times New Roman"/>
          <w:sz w:val="24"/>
          <w:szCs w:val="24"/>
        </w:rPr>
      </w:pPr>
    </w:p>
    <w:p w:rsidR="00F6757F" w:rsidRPr="00FA621E" w:rsidRDefault="00F6757F" w:rsidP="00F6757F">
      <w:pPr>
        <w:rPr>
          <w:rFonts w:ascii="Times New Roman" w:hAnsi="Times New Roman" w:cs="Times New Roman"/>
          <w:b/>
          <w:sz w:val="24"/>
          <w:szCs w:val="24"/>
        </w:rPr>
      </w:pPr>
      <w:r w:rsidRPr="00FA621E">
        <w:rPr>
          <w:rFonts w:ascii="Times New Roman" w:hAnsi="Times New Roman" w:cs="Times New Roman"/>
          <w:b/>
          <w:sz w:val="24"/>
          <w:szCs w:val="24"/>
        </w:rPr>
        <w:lastRenderedPageBreak/>
        <w:t>6. Exploratory Data Analysis (EDA)</w:t>
      </w:r>
    </w:p>
    <w:p w:rsidR="00AA016C" w:rsidRDefault="00AA016C" w:rsidP="00AA016C">
      <w:pPr>
        <w:pStyle w:val="NormalWeb"/>
      </w:pPr>
      <w:r>
        <w:t>Exploratory Data Analysis was performed to understand the characteristics of the mutual fund datasets and identify meaningful patterns.</w:t>
      </w:r>
    </w:p>
    <w:p w:rsidR="00AA016C" w:rsidRDefault="00AA016C" w:rsidP="00AA016C">
      <w:pPr>
        <w:pStyle w:val="Heading4"/>
      </w:pPr>
      <w:r>
        <w:t>Category Inflow Analysis</w:t>
      </w:r>
    </w:p>
    <w:p w:rsidR="00AA016C" w:rsidRDefault="00AA016C" w:rsidP="00AA016C">
      <w:pPr>
        <w:pStyle w:val="NormalWeb"/>
      </w:pPr>
      <w:r>
        <w:t>Category-wise inflow analysis was conducted to determine which mutual fund categories attracted the highest investments. Categories such as Liquid Funds, Large Cap Funds, and Flexi Cap Funds showed significant investor interest during the analysis period.</w:t>
      </w:r>
    </w:p>
    <w:p w:rsidR="00AA016C" w:rsidRDefault="005D0152" w:rsidP="00AA016C">
      <w:pPr>
        <w:pStyle w:val="Heading4"/>
      </w:pPr>
      <w:r>
        <w:rPr>
          <w:noProof/>
        </w:rPr>
        <w:drawing>
          <wp:inline distT="0" distB="0" distL="0" distR="0">
            <wp:extent cx="5943600" cy="4631146"/>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943600" cy="4631146"/>
                    </a:xfrm>
                    <a:prstGeom prst="rect">
                      <a:avLst/>
                    </a:prstGeom>
                    <a:noFill/>
                    <a:ln w="9525">
                      <a:noFill/>
                      <a:miter lim="800000"/>
                      <a:headEnd/>
                      <a:tailEnd/>
                    </a:ln>
                  </pic:spPr>
                </pic:pic>
              </a:graphicData>
            </a:graphic>
          </wp:inline>
        </w:drawing>
      </w:r>
      <w:r w:rsidR="00AA016C">
        <w:t>Investor Demographics Analysis</w:t>
      </w:r>
    </w:p>
    <w:p w:rsidR="00AA016C" w:rsidRDefault="00AA016C" w:rsidP="00AA016C">
      <w:pPr>
        <w:pStyle w:val="NormalWeb"/>
      </w:pPr>
      <w:r>
        <w:t>Investor transaction data was analyzed across age groups, gender, and geographic regions. The analysis helped identify investor participation trends and contribution patterns.</w:t>
      </w:r>
    </w:p>
    <w:p w:rsidR="00AA016C" w:rsidRDefault="00AA016C" w:rsidP="00AA016C">
      <w:pPr>
        <w:pStyle w:val="NormalWeb"/>
      </w:pPr>
      <w:r>
        <w:t>Key observations included:</w:t>
      </w:r>
    </w:p>
    <w:p w:rsidR="00AA016C" w:rsidRDefault="00AA016C" w:rsidP="00AA016C">
      <w:pPr>
        <w:numPr>
          <w:ilvl w:val="0"/>
          <w:numId w:val="3"/>
        </w:numPr>
        <w:spacing w:before="100" w:beforeAutospacing="1" w:after="100" w:afterAutospacing="1" w:line="240" w:lineRule="auto"/>
      </w:pPr>
      <w:r>
        <w:t xml:space="preserve">The 26–35 age </w:t>
      </w:r>
      <w:proofErr w:type="gramStart"/>
      <w:r>
        <w:t>group</w:t>
      </w:r>
      <w:proofErr w:type="gramEnd"/>
      <w:r>
        <w:t xml:space="preserve"> contributed the highest transaction volume. </w:t>
      </w:r>
    </w:p>
    <w:p w:rsidR="00AA016C" w:rsidRDefault="00AA016C" w:rsidP="00AA016C">
      <w:pPr>
        <w:numPr>
          <w:ilvl w:val="0"/>
          <w:numId w:val="3"/>
        </w:numPr>
        <w:spacing w:before="100" w:beforeAutospacing="1" w:after="100" w:afterAutospacing="1" w:line="240" w:lineRule="auto"/>
      </w:pPr>
      <w:r>
        <w:t xml:space="preserve">SIP investments represented a significant portion of investor activity. </w:t>
      </w:r>
    </w:p>
    <w:p w:rsidR="00AA016C" w:rsidRDefault="00AA016C" w:rsidP="00AA016C">
      <w:pPr>
        <w:numPr>
          <w:ilvl w:val="0"/>
          <w:numId w:val="3"/>
        </w:numPr>
        <w:spacing w:before="100" w:beforeAutospacing="1" w:after="100" w:afterAutospacing="1" w:line="240" w:lineRule="auto"/>
      </w:pPr>
      <w:r>
        <w:lastRenderedPageBreak/>
        <w:t xml:space="preserve">Major metropolitan cities accounted for a large share of transactions. </w:t>
      </w:r>
    </w:p>
    <w:p w:rsidR="00AA016C" w:rsidRDefault="005D0152" w:rsidP="00AA016C">
      <w:pPr>
        <w:pStyle w:val="Heading4"/>
      </w:pPr>
      <w:r>
        <w:rPr>
          <w:noProof/>
        </w:rPr>
        <w:drawing>
          <wp:inline distT="0" distB="0" distL="0" distR="0">
            <wp:extent cx="5943600" cy="6147886"/>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srcRect/>
                    <a:stretch>
                      <a:fillRect/>
                    </a:stretch>
                  </pic:blipFill>
                  <pic:spPr bwMode="auto">
                    <a:xfrm>
                      <a:off x="0" y="0"/>
                      <a:ext cx="5943600" cy="6147886"/>
                    </a:xfrm>
                    <a:prstGeom prst="rect">
                      <a:avLst/>
                    </a:prstGeom>
                    <a:noFill/>
                    <a:ln w="9525">
                      <a:noFill/>
                      <a:miter lim="800000"/>
                      <a:headEnd/>
                      <a:tailEnd/>
                    </a:ln>
                  </pic:spPr>
                </pic:pic>
              </a:graphicData>
            </a:graphic>
          </wp:inline>
        </w:drawing>
      </w:r>
      <w:r w:rsidR="00AA016C">
        <w:t>SIP Trend Analysis</w:t>
      </w:r>
    </w:p>
    <w:p w:rsidR="00AA016C" w:rsidRDefault="00AA016C" w:rsidP="00AA016C">
      <w:pPr>
        <w:pStyle w:val="NormalWeb"/>
      </w:pPr>
      <w:r>
        <w:t>Monthly SIP inflow data was analyzed to identify growth patterns and investment trends over time.</w:t>
      </w:r>
    </w:p>
    <w:p w:rsidR="00AA016C" w:rsidRDefault="00AA016C" w:rsidP="00AA016C">
      <w:pPr>
        <w:pStyle w:val="NormalWeb"/>
      </w:pPr>
      <w:r>
        <w:t>Key findings:</w:t>
      </w:r>
    </w:p>
    <w:p w:rsidR="00AA016C" w:rsidRDefault="00AA016C" w:rsidP="00AA016C">
      <w:pPr>
        <w:numPr>
          <w:ilvl w:val="0"/>
          <w:numId w:val="4"/>
        </w:numPr>
        <w:spacing w:before="100" w:beforeAutospacing="1" w:after="100" w:afterAutospacing="1" w:line="240" w:lineRule="auto"/>
      </w:pPr>
      <w:r>
        <w:t xml:space="preserve">SIP inflows demonstrated steady growth throughout the observation period. </w:t>
      </w:r>
    </w:p>
    <w:p w:rsidR="00AA016C" w:rsidRDefault="00AA016C" w:rsidP="00AA016C">
      <w:pPr>
        <w:numPr>
          <w:ilvl w:val="0"/>
          <w:numId w:val="4"/>
        </w:numPr>
        <w:spacing w:before="100" w:beforeAutospacing="1" w:after="100" w:afterAutospacing="1" w:line="240" w:lineRule="auto"/>
      </w:pPr>
      <w:r>
        <w:t xml:space="preserve">Market fluctuations influenced short-term investment behavior. </w:t>
      </w:r>
    </w:p>
    <w:p w:rsidR="00AA016C" w:rsidRDefault="00AA016C" w:rsidP="00AA016C">
      <w:pPr>
        <w:numPr>
          <w:ilvl w:val="0"/>
          <w:numId w:val="4"/>
        </w:numPr>
        <w:spacing w:before="100" w:beforeAutospacing="1" w:after="100" w:afterAutospacing="1" w:line="240" w:lineRule="auto"/>
      </w:pPr>
      <w:r>
        <w:lastRenderedPageBreak/>
        <w:t xml:space="preserve">Long-term participation in SIP investments remained strong. </w:t>
      </w:r>
    </w:p>
    <w:p w:rsidR="00AA016C" w:rsidRDefault="005D0152" w:rsidP="00AA016C">
      <w:pPr>
        <w:pStyle w:val="Heading4"/>
      </w:pPr>
      <w:r>
        <w:rPr>
          <w:noProof/>
        </w:rPr>
        <w:drawing>
          <wp:inline distT="0" distB="0" distL="0" distR="0">
            <wp:extent cx="5943600" cy="2679173"/>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srcRect/>
                    <a:stretch>
                      <a:fillRect/>
                    </a:stretch>
                  </pic:blipFill>
                  <pic:spPr bwMode="auto">
                    <a:xfrm>
                      <a:off x="0" y="0"/>
                      <a:ext cx="5943600" cy="2679173"/>
                    </a:xfrm>
                    <a:prstGeom prst="rect">
                      <a:avLst/>
                    </a:prstGeom>
                    <a:noFill/>
                    <a:ln w="9525">
                      <a:noFill/>
                      <a:miter lim="800000"/>
                      <a:headEnd/>
                      <a:tailEnd/>
                    </a:ln>
                  </pic:spPr>
                </pic:pic>
              </a:graphicData>
            </a:graphic>
          </wp:inline>
        </w:drawing>
      </w:r>
      <w:r w:rsidR="00AA016C">
        <w:t>Portfolio Composition Analysis</w:t>
      </w:r>
    </w:p>
    <w:p w:rsidR="00AA016C" w:rsidRDefault="00AA016C" w:rsidP="00AA016C">
      <w:pPr>
        <w:pStyle w:val="NormalWeb"/>
      </w:pPr>
      <w:r>
        <w:t>Portfolio holdings data was analyzed to understand sector allocation and diversification.</w:t>
      </w:r>
    </w:p>
    <w:p w:rsidR="00AA016C" w:rsidRDefault="00AA016C" w:rsidP="00AA016C">
      <w:pPr>
        <w:pStyle w:val="NormalWeb"/>
      </w:pPr>
      <w:r>
        <w:t>Key observations:</w:t>
      </w:r>
    </w:p>
    <w:p w:rsidR="00AA016C" w:rsidRDefault="00AA016C" w:rsidP="00AA016C">
      <w:pPr>
        <w:numPr>
          <w:ilvl w:val="0"/>
          <w:numId w:val="5"/>
        </w:numPr>
        <w:spacing w:before="100" w:beforeAutospacing="1" w:after="100" w:afterAutospacing="1" w:line="240" w:lineRule="auto"/>
      </w:pPr>
      <w:r>
        <w:t xml:space="preserve">Financial Services and Information Technology sectors accounted for significant portfolio allocations. </w:t>
      </w:r>
    </w:p>
    <w:p w:rsidR="00AA016C" w:rsidRDefault="00AA016C" w:rsidP="00AA016C">
      <w:pPr>
        <w:numPr>
          <w:ilvl w:val="0"/>
          <w:numId w:val="5"/>
        </w:numPr>
        <w:spacing w:before="100" w:beforeAutospacing="1" w:after="100" w:afterAutospacing="1" w:line="240" w:lineRule="auto"/>
      </w:pPr>
      <w:r>
        <w:t xml:space="preserve">Sector diversification varied across mutual fund schemes. </w:t>
      </w:r>
    </w:p>
    <w:p w:rsidR="00AA016C" w:rsidRDefault="00AA016C" w:rsidP="00AA016C">
      <w:pPr>
        <w:numPr>
          <w:ilvl w:val="0"/>
          <w:numId w:val="5"/>
        </w:numPr>
        <w:spacing w:before="100" w:beforeAutospacing="1" w:after="100" w:afterAutospacing="1" w:line="240" w:lineRule="auto"/>
      </w:pPr>
      <w:r>
        <w:t xml:space="preserve">Portfolio concentration analysis was later extended using HHI calculations. </w:t>
      </w:r>
    </w:p>
    <w:p w:rsidR="00F6757F" w:rsidRPr="00F6757F" w:rsidRDefault="005D0152" w:rsidP="00F6757F">
      <w:pPr>
        <w:rPr>
          <w:rFonts w:ascii="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43600" cy="5873976"/>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srcRect/>
                    <a:stretch>
                      <a:fillRect/>
                    </a:stretch>
                  </pic:blipFill>
                  <pic:spPr bwMode="auto">
                    <a:xfrm>
                      <a:off x="0" y="0"/>
                      <a:ext cx="5943600" cy="5873976"/>
                    </a:xfrm>
                    <a:prstGeom prst="rect">
                      <a:avLst/>
                    </a:prstGeom>
                    <a:noFill/>
                    <a:ln w="9525">
                      <a:noFill/>
                      <a:miter lim="800000"/>
                      <a:headEnd/>
                      <a:tailEnd/>
                    </a:ln>
                  </pic:spPr>
                </pic:pic>
              </a:graphicData>
            </a:graphic>
          </wp:inline>
        </w:drawing>
      </w:r>
    </w:p>
    <w:p w:rsidR="00F6757F" w:rsidRPr="00FA621E" w:rsidRDefault="00F6757F" w:rsidP="00F6757F">
      <w:pPr>
        <w:rPr>
          <w:rFonts w:ascii="Times New Roman" w:hAnsi="Times New Roman" w:cs="Times New Roman"/>
          <w:b/>
          <w:sz w:val="24"/>
          <w:szCs w:val="24"/>
        </w:rPr>
      </w:pPr>
      <w:r w:rsidRPr="00FA621E">
        <w:rPr>
          <w:rFonts w:ascii="Times New Roman" w:hAnsi="Times New Roman" w:cs="Times New Roman"/>
          <w:b/>
          <w:sz w:val="24"/>
          <w:szCs w:val="24"/>
        </w:rPr>
        <w:t>7. Performance Analytics</w:t>
      </w:r>
    </w:p>
    <w:p w:rsidR="00A12EE2" w:rsidRDefault="00A12EE2" w:rsidP="00A12EE2">
      <w:pPr>
        <w:pStyle w:val="NormalWeb"/>
      </w:pPr>
      <w:r>
        <w:t>Performance analytics was conducted to evaluate mutual fund returns, risk-adjusted performance, and portfolio efficiency.</w:t>
      </w:r>
    </w:p>
    <w:p w:rsidR="00A12EE2" w:rsidRDefault="00A12EE2" w:rsidP="00A12EE2">
      <w:pPr>
        <w:pStyle w:val="Heading4"/>
      </w:pPr>
      <w:r>
        <w:t>Return Analysis</w:t>
      </w:r>
    </w:p>
    <w:p w:rsidR="00A12EE2" w:rsidRDefault="00A12EE2" w:rsidP="00A12EE2">
      <w:pPr>
        <w:pStyle w:val="NormalWeb"/>
      </w:pPr>
      <w:r>
        <w:t>Historical performance metrics including 1-year, 3-year, and 5-year returns were analyzed across all mutual fund schemes.</w:t>
      </w:r>
    </w:p>
    <w:p w:rsidR="00A12EE2" w:rsidRDefault="00A12EE2" w:rsidP="00A12EE2">
      <w:pPr>
        <w:pStyle w:val="NormalWeb"/>
      </w:pPr>
      <w:r>
        <w:t>Key observations:</w:t>
      </w:r>
    </w:p>
    <w:p w:rsidR="00A12EE2" w:rsidRDefault="00A12EE2" w:rsidP="00A12EE2">
      <w:pPr>
        <w:numPr>
          <w:ilvl w:val="0"/>
          <w:numId w:val="6"/>
        </w:numPr>
        <w:spacing w:before="100" w:beforeAutospacing="1" w:after="100" w:afterAutospacing="1" w:line="240" w:lineRule="auto"/>
      </w:pPr>
      <w:r>
        <w:lastRenderedPageBreak/>
        <w:t xml:space="preserve">Equity-oriented schemes generally delivered higher long-term returns. </w:t>
      </w:r>
    </w:p>
    <w:p w:rsidR="00A12EE2" w:rsidRDefault="00A12EE2" w:rsidP="00A12EE2">
      <w:pPr>
        <w:numPr>
          <w:ilvl w:val="0"/>
          <w:numId w:val="6"/>
        </w:numPr>
        <w:spacing w:before="100" w:beforeAutospacing="1" w:after="100" w:afterAutospacing="1" w:line="240" w:lineRule="auto"/>
      </w:pPr>
      <w:r>
        <w:t xml:space="preserve">Large Cap, Mid Cap, and Flexi Cap categories demonstrated strong growth performance. </w:t>
      </w:r>
    </w:p>
    <w:p w:rsidR="00A12EE2" w:rsidRDefault="00A12EE2" w:rsidP="00A12EE2">
      <w:pPr>
        <w:numPr>
          <w:ilvl w:val="0"/>
          <w:numId w:val="6"/>
        </w:numPr>
        <w:spacing w:before="100" w:beforeAutospacing="1" w:after="100" w:afterAutospacing="1" w:line="240" w:lineRule="auto"/>
      </w:pPr>
      <w:r>
        <w:t xml:space="preserve">Return distribution varied significantly across risk categories. </w:t>
      </w:r>
    </w:p>
    <w:p w:rsidR="00A12EE2" w:rsidRDefault="00A12EE2" w:rsidP="00A12EE2">
      <w:pPr>
        <w:pStyle w:val="Heading4"/>
      </w:pPr>
      <w:r>
        <w:t>CAGR Analysis</w:t>
      </w:r>
    </w:p>
    <w:p w:rsidR="00A12EE2" w:rsidRDefault="00A12EE2" w:rsidP="00A12EE2">
      <w:pPr>
        <w:pStyle w:val="NormalWeb"/>
      </w:pPr>
      <w:r>
        <w:t>Compound Annual Growth Rate (CAGR) was calculated to compare long-term growth across mutual fund schemes.</w:t>
      </w:r>
    </w:p>
    <w:p w:rsidR="00A12EE2" w:rsidRDefault="00A12EE2" w:rsidP="00A12EE2">
      <w:pPr>
        <w:pStyle w:val="NormalWeb"/>
      </w:pPr>
      <w:r>
        <w:t>The CAGR analysis enabled standardized comparison of investment performance over different periods.</w:t>
      </w:r>
    </w:p>
    <w:p w:rsidR="00A12EE2" w:rsidRDefault="005D0152" w:rsidP="00A12EE2">
      <w:pPr>
        <w:pStyle w:val="Heading4"/>
      </w:pPr>
      <w:r>
        <w:rPr>
          <w:noProof/>
        </w:rPr>
        <w:drawing>
          <wp:inline distT="0" distB="0" distL="0" distR="0">
            <wp:extent cx="5943600" cy="2415222"/>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srcRect/>
                    <a:stretch>
                      <a:fillRect/>
                    </a:stretch>
                  </pic:blipFill>
                  <pic:spPr bwMode="auto">
                    <a:xfrm>
                      <a:off x="0" y="0"/>
                      <a:ext cx="5943600" cy="2415222"/>
                    </a:xfrm>
                    <a:prstGeom prst="rect">
                      <a:avLst/>
                    </a:prstGeom>
                    <a:noFill/>
                    <a:ln w="9525">
                      <a:noFill/>
                      <a:miter lim="800000"/>
                      <a:headEnd/>
                      <a:tailEnd/>
                    </a:ln>
                  </pic:spPr>
                </pic:pic>
              </a:graphicData>
            </a:graphic>
          </wp:inline>
        </w:drawing>
      </w:r>
      <w:r w:rsidR="00A12EE2">
        <w:t>Sharpe Ratio Analysis</w:t>
      </w:r>
    </w:p>
    <w:p w:rsidR="00A12EE2" w:rsidRDefault="00A12EE2" w:rsidP="00A12EE2">
      <w:pPr>
        <w:pStyle w:val="NormalWeb"/>
      </w:pPr>
      <w:r>
        <w:t>The Sharpe Ratio was used to measure risk-adjusted returns by comparing excess returns against portfolio volatility.</w:t>
      </w:r>
    </w:p>
    <w:p w:rsidR="00A12EE2" w:rsidRDefault="00A12EE2" w:rsidP="00A12EE2">
      <w:pPr>
        <w:pStyle w:val="NormalWeb"/>
      </w:pPr>
      <w:r>
        <w:t>Key observations:</w:t>
      </w:r>
    </w:p>
    <w:p w:rsidR="00A12EE2" w:rsidRDefault="00A12EE2" w:rsidP="00A12EE2">
      <w:pPr>
        <w:numPr>
          <w:ilvl w:val="0"/>
          <w:numId w:val="7"/>
        </w:numPr>
        <w:spacing w:before="100" w:beforeAutospacing="1" w:after="100" w:afterAutospacing="1" w:line="240" w:lineRule="auto"/>
      </w:pPr>
      <w:r>
        <w:t xml:space="preserve">Higher Sharpe Ratios indicated better risk-adjusted performance. </w:t>
      </w:r>
    </w:p>
    <w:p w:rsidR="00A12EE2" w:rsidRDefault="00A12EE2" w:rsidP="00A12EE2">
      <w:pPr>
        <w:numPr>
          <w:ilvl w:val="0"/>
          <w:numId w:val="7"/>
        </w:numPr>
        <w:spacing w:before="100" w:beforeAutospacing="1" w:after="100" w:afterAutospacing="1" w:line="240" w:lineRule="auto"/>
      </w:pPr>
      <w:r>
        <w:t xml:space="preserve">Certain schemes achieved strong returns with relatively lower risk. </w:t>
      </w:r>
    </w:p>
    <w:p w:rsidR="00A12EE2" w:rsidRDefault="00A12EE2" w:rsidP="00A12EE2">
      <w:pPr>
        <w:pStyle w:val="Heading4"/>
      </w:pPr>
      <w:proofErr w:type="spellStart"/>
      <w:r>
        <w:t>Sortino</w:t>
      </w:r>
      <w:proofErr w:type="spellEnd"/>
      <w:r>
        <w:t xml:space="preserve"> Ratio Analysis</w:t>
      </w:r>
    </w:p>
    <w:p w:rsidR="00A12EE2" w:rsidRDefault="00A12EE2" w:rsidP="00A12EE2">
      <w:pPr>
        <w:pStyle w:val="NormalWeb"/>
      </w:pPr>
      <w:r>
        <w:t xml:space="preserve">The </w:t>
      </w:r>
      <w:proofErr w:type="spellStart"/>
      <w:r>
        <w:t>Sortino</w:t>
      </w:r>
      <w:proofErr w:type="spellEnd"/>
      <w:r>
        <w:t xml:space="preserve"> Ratio was calculated to focus specifically on downside risk.</w:t>
      </w:r>
    </w:p>
    <w:p w:rsidR="00A12EE2" w:rsidRDefault="00A12EE2" w:rsidP="00A12EE2">
      <w:pPr>
        <w:pStyle w:val="NormalWeb"/>
      </w:pPr>
      <w:r>
        <w:t>Benefits:</w:t>
      </w:r>
    </w:p>
    <w:p w:rsidR="00A12EE2" w:rsidRDefault="00A12EE2" w:rsidP="00A12EE2">
      <w:pPr>
        <w:numPr>
          <w:ilvl w:val="0"/>
          <w:numId w:val="8"/>
        </w:numPr>
        <w:spacing w:before="100" w:beforeAutospacing="1" w:after="100" w:afterAutospacing="1" w:line="240" w:lineRule="auto"/>
      </w:pPr>
      <w:r>
        <w:t xml:space="preserve">Measures return relative to harmful volatility. </w:t>
      </w:r>
    </w:p>
    <w:p w:rsidR="00A12EE2" w:rsidRDefault="00A12EE2" w:rsidP="00A12EE2">
      <w:pPr>
        <w:numPr>
          <w:ilvl w:val="0"/>
          <w:numId w:val="8"/>
        </w:numPr>
        <w:spacing w:before="100" w:beforeAutospacing="1" w:after="100" w:afterAutospacing="1" w:line="240" w:lineRule="auto"/>
      </w:pPr>
      <w:r>
        <w:t xml:space="preserve">Provides a more investor-focused risk assessment than standard deviation alone. </w:t>
      </w:r>
    </w:p>
    <w:p w:rsidR="00A12EE2" w:rsidRDefault="00A12EE2" w:rsidP="00A12EE2">
      <w:pPr>
        <w:pStyle w:val="Heading4"/>
      </w:pPr>
      <w:r>
        <w:t>Alpha and Beta Analysis</w:t>
      </w:r>
    </w:p>
    <w:p w:rsidR="00A12EE2" w:rsidRDefault="00A12EE2" w:rsidP="00A12EE2">
      <w:pPr>
        <w:pStyle w:val="NormalWeb"/>
      </w:pPr>
      <w:r>
        <w:lastRenderedPageBreak/>
        <w:t>Alpha and Beta metrics were used to evaluate fund performance relative to benchmark indices.</w:t>
      </w:r>
    </w:p>
    <w:p w:rsidR="00A12EE2" w:rsidRDefault="00A12EE2" w:rsidP="00A12EE2">
      <w:pPr>
        <w:numPr>
          <w:ilvl w:val="0"/>
          <w:numId w:val="9"/>
        </w:numPr>
        <w:spacing w:before="100" w:beforeAutospacing="1" w:after="100" w:afterAutospacing="1" w:line="240" w:lineRule="auto"/>
      </w:pPr>
      <w:r>
        <w:t xml:space="preserve">Alpha measures excess returns beyond benchmark expectations. </w:t>
      </w:r>
    </w:p>
    <w:p w:rsidR="00A12EE2" w:rsidRDefault="00A12EE2" w:rsidP="00A12EE2">
      <w:pPr>
        <w:numPr>
          <w:ilvl w:val="0"/>
          <w:numId w:val="9"/>
        </w:numPr>
        <w:spacing w:before="100" w:beforeAutospacing="1" w:after="100" w:afterAutospacing="1" w:line="240" w:lineRule="auto"/>
      </w:pPr>
      <w:r>
        <w:t xml:space="preserve">Beta measures sensitivity to market movements. </w:t>
      </w:r>
    </w:p>
    <w:p w:rsidR="00A12EE2" w:rsidRDefault="00A12EE2" w:rsidP="00A12EE2">
      <w:pPr>
        <w:pStyle w:val="Heading4"/>
      </w:pPr>
      <w:r>
        <w:t>Maximum Drawdown Analysis</w:t>
      </w:r>
    </w:p>
    <w:p w:rsidR="00A12EE2" w:rsidRDefault="00A12EE2" w:rsidP="00A12EE2">
      <w:pPr>
        <w:pStyle w:val="NormalWeb"/>
      </w:pPr>
      <w:r>
        <w:t>Maximum Drawdown was calculated to identify the largest historical decline experienced by each scheme.</w:t>
      </w:r>
    </w:p>
    <w:p w:rsidR="00A12EE2" w:rsidRDefault="00A12EE2" w:rsidP="00A12EE2">
      <w:pPr>
        <w:pStyle w:val="NormalWeb"/>
      </w:pPr>
      <w:r>
        <w:t>Key findings:</w:t>
      </w:r>
    </w:p>
    <w:p w:rsidR="00A12EE2" w:rsidRDefault="00A12EE2" w:rsidP="00A12EE2">
      <w:pPr>
        <w:numPr>
          <w:ilvl w:val="0"/>
          <w:numId w:val="10"/>
        </w:numPr>
        <w:spacing w:before="100" w:beforeAutospacing="1" w:after="100" w:afterAutospacing="1" w:line="240" w:lineRule="auto"/>
      </w:pPr>
      <w:r>
        <w:t xml:space="preserve">Higher-risk funds generally experienced larger </w:t>
      </w:r>
      <w:proofErr w:type="spellStart"/>
      <w:r>
        <w:t>drawdowns</w:t>
      </w:r>
      <w:proofErr w:type="spellEnd"/>
      <w:r>
        <w:t xml:space="preserve">. </w:t>
      </w:r>
    </w:p>
    <w:p w:rsidR="00A12EE2" w:rsidRDefault="00A12EE2" w:rsidP="00A12EE2">
      <w:pPr>
        <w:numPr>
          <w:ilvl w:val="0"/>
          <w:numId w:val="10"/>
        </w:numPr>
        <w:spacing w:before="100" w:beforeAutospacing="1" w:after="100" w:afterAutospacing="1" w:line="240" w:lineRule="auto"/>
      </w:pPr>
      <w:r>
        <w:t xml:space="preserve">Drawdown analysis provides insight into downside risk exposure. </w:t>
      </w:r>
    </w:p>
    <w:p w:rsidR="00A12EE2" w:rsidRDefault="005D0152" w:rsidP="00A12EE2">
      <w:pPr>
        <w:pStyle w:val="Heading4"/>
      </w:pPr>
      <w:r>
        <w:rPr>
          <w:noProof/>
        </w:rPr>
        <w:drawing>
          <wp:inline distT="0" distB="0" distL="0" distR="0">
            <wp:extent cx="5943600" cy="2376629"/>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srcRect/>
                    <a:stretch>
                      <a:fillRect/>
                    </a:stretch>
                  </pic:blipFill>
                  <pic:spPr bwMode="auto">
                    <a:xfrm>
                      <a:off x="0" y="0"/>
                      <a:ext cx="5943600" cy="2376629"/>
                    </a:xfrm>
                    <a:prstGeom prst="rect">
                      <a:avLst/>
                    </a:prstGeom>
                    <a:noFill/>
                    <a:ln w="9525">
                      <a:noFill/>
                      <a:miter lim="800000"/>
                      <a:headEnd/>
                      <a:tailEnd/>
                    </a:ln>
                  </pic:spPr>
                </pic:pic>
              </a:graphicData>
            </a:graphic>
          </wp:inline>
        </w:drawing>
      </w:r>
      <w:r w:rsidR="00A12EE2">
        <w:t>Fund Scorecard</w:t>
      </w:r>
    </w:p>
    <w:p w:rsidR="00A12EE2" w:rsidRDefault="00A12EE2" w:rsidP="00A12EE2">
      <w:pPr>
        <w:pStyle w:val="NormalWeb"/>
      </w:pPr>
      <w:r>
        <w:t>A composite scorecard was created using:</w:t>
      </w:r>
    </w:p>
    <w:p w:rsidR="00A12EE2" w:rsidRDefault="00A12EE2" w:rsidP="00A12EE2">
      <w:pPr>
        <w:numPr>
          <w:ilvl w:val="0"/>
          <w:numId w:val="11"/>
        </w:numPr>
        <w:spacing w:before="100" w:beforeAutospacing="1" w:after="100" w:afterAutospacing="1" w:line="240" w:lineRule="auto"/>
      </w:pPr>
      <w:r>
        <w:t xml:space="preserve">Return Rank </w:t>
      </w:r>
    </w:p>
    <w:p w:rsidR="00A12EE2" w:rsidRDefault="00A12EE2" w:rsidP="00A12EE2">
      <w:pPr>
        <w:numPr>
          <w:ilvl w:val="0"/>
          <w:numId w:val="11"/>
        </w:numPr>
        <w:spacing w:before="100" w:beforeAutospacing="1" w:after="100" w:afterAutospacing="1" w:line="240" w:lineRule="auto"/>
      </w:pPr>
      <w:r>
        <w:t xml:space="preserve">Sharpe Ratio Rank </w:t>
      </w:r>
    </w:p>
    <w:p w:rsidR="00A12EE2" w:rsidRDefault="00A12EE2" w:rsidP="00A12EE2">
      <w:pPr>
        <w:numPr>
          <w:ilvl w:val="0"/>
          <w:numId w:val="11"/>
        </w:numPr>
        <w:spacing w:before="100" w:beforeAutospacing="1" w:after="100" w:afterAutospacing="1" w:line="240" w:lineRule="auto"/>
      </w:pPr>
      <w:r>
        <w:t xml:space="preserve">Alpha Rank </w:t>
      </w:r>
    </w:p>
    <w:p w:rsidR="00A12EE2" w:rsidRDefault="00A12EE2" w:rsidP="00A12EE2">
      <w:pPr>
        <w:numPr>
          <w:ilvl w:val="0"/>
          <w:numId w:val="11"/>
        </w:numPr>
        <w:spacing w:before="100" w:beforeAutospacing="1" w:after="100" w:afterAutospacing="1" w:line="240" w:lineRule="auto"/>
      </w:pPr>
      <w:r>
        <w:t xml:space="preserve">Expense Ratio Rank </w:t>
      </w:r>
    </w:p>
    <w:p w:rsidR="00A12EE2" w:rsidRDefault="00A12EE2" w:rsidP="00A12EE2">
      <w:pPr>
        <w:numPr>
          <w:ilvl w:val="0"/>
          <w:numId w:val="11"/>
        </w:numPr>
        <w:spacing w:before="100" w:beforeAutospacing="1" w:after="100" w:afterAutospacing="1" w:line="240" w:lineRule="auto"/>
      </w:pPr>
      <w:r>
        <w:t xml:space="preserve">Maximum Drawdown Rank </w:t>
      </w:r>
    </w:p>
    <w:p w:rsidR="00A12EE2" w:rsidRDefault="00A12EE2" w:rsidP="00A12EE2">
      <w:pPr>
        <w:pStyle w:val="NormalWeb"/>
      </w:pPr>
      <w:r>
        <w:t>The scorecard was used to identify top-performing mutual fund schemes based on multiple evaluation criteria.</w:t>
      </w:r>
    </w:p>
    <w:p w:rsidR="00A12EE2" w:rsidRPr="00F6757F" w:rsidRDefault="005D0152" w:rsidP="00F6757F">
      <w:pPr>
        <w:rPr>
          <w:rFonts w:ascii="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43600" cy="2491068"/>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srcRect/>
                    <a:stretch>
                      <a:fillRect/>
                    </a:stretch>
                  </pic:blipFill>
                  <pic:spPr bwMode="auto">
                    <a:xfrm>
                      <a:off x="0" y="0"/>
                      <a:ext cx="5943600" cy="2491068"/>
                    </a:xfrm>
                    <a:prstGeom prst="rect">
                      <a:avLst/>
                    </a:prstGeom>
                    <a:noFill/>
                    <a:ln w="9525">
                      <a:noFill/>
                      <a:miter lim="800000"/>
                      <a:headEnd/>
                      <a:tailEnd/>
                    </a:ln>
                  </pic:spPr>
                </pic:pic>
              </a:graphicData>
            </a:graphic>
          </wp:inline>
        </w:drawing>
      </w:r>
    </w:p>
    <w:p w:rsidR="00F6757F" w:rsidRPr="00F6757F" w:rsidRDefault="00F6757F" w:rsidP="00F6757F">
      <w:pPr>
        <w:rPr>
          <w:rFonts w:ascii="Times New Roman" w:hAnsi="Times New Roman" w:cs="Times New Roman"/>
          <w:sz w:val="24"/>
          <w:szCs w:val="24"/>
        </w:rPr>
      </w:pPr>
    </w:p>
    <w:p w:rsidR="00A12EE2" w:rsidRDefault="00A12EE2" w:rsidP="00F6757F">
      <w:pPr>
        <w:rPr>
          <w:rFonts w:ascii="Times New Roman" w:hAnsi="Times New Roman" w:cs="Times New Roman"/>
          <w:sz w:val="24"/>
          <w:szCs w:val="24"/>
        </w:rPr>
      </w:pPr>
    </w:p>
    <w:p w:rsidR="00F6757F" w:rsidRPr="00FA621E" w:rsidRDefault="00F6757F" w:rsidP="00F6757F">
      <w:pPr>
        <w:rPr>
          <w:rFonts w:ascii="Times New Roman" w:hAnsi="Times New Roman" w:cs="Times New Roman"/>
          <w:b/>
          <w:sz w:val="24"/>
          <w:szCs w:val="24"/>
        </w:rPr>
      </w:pPr>
      <w:r w:rsidRPr="00FA621E">
        <w:rPr>
          <w:rFonts w:ascii="Times New Roman" w:hAnsi="Times New Roman" w:cs="Times New Roman"/>
          <w:b/>
          <w:sz w:val="24"/>
          <w:szCs w:val="24"/>
        </w:rPr>
        <w:t>8. Dashboard Development</w:t>
      </w:r>
    </w:p>
    <w:p w:rsidR="00A12EE2" w:rsidRDefault="00A12EE2" w:rsidP="00A12EE2">
      <w:pPr>
        <w:pStyle w:val="NormalWeb"/>
      </w:pPr>
      <w:r>
        <w:t>An interactive dashboard was developed using Microsoft Power BI to provide a consolidated view of mutual fund analytics.</w:t>
      </w:r>
    </w:p>
    <w:p w:rsidR="00A12EE2" w:rsidRDefault="00A12EE2" w:rsidP="00A12EE2">
      <w:pPr>
        <w:pStyle w:val="NormalWeb"/>
      </w:pPr>
      <w:r>
        <w:t>The dashboard was designed to support business intelligence, investment analysis, and performance monitoring.</w:t>
      </w:r>
    </w:p>
    <w:p w:rsidR="00A12EE2" w:rsidRDefault="00A12EE2" w:rsidP="00A12EE2">
      <w:pPr>
        <w:pStyle w:val="Heading4"/>
      </w:pPr>
      <w:r>
        <w:t>Dashboard Features</w:t>
      </w:r>
    </w:p>
    <w:p w:rsidR="00A12EE2" w:rsidRPr="00FA621E" w:rsidRDefault="00A12EE2" w:rsidP="00A12EE2">
      <w:pPr>
        <w:pStyle w:val="Heading5"/>
        <w:rPr>
          <w:b/>
        </w:rPr>
      </w:pPr>
      <w:r w:rsidRPr="00FA621E">
        <w:rPr>
          <w:b/>
        </w:rPr>
        <w:t>Industry Overview</w:t>
      </w:r>
    </w:p>
    <w:p w:rsidR="00A12EE2" w:rsidRDefault="00A12EE2" w:rsidP="00A12EE2">
      <w:pPr>
        <w:pStyle w:val="NormalWeb"/>
      </w:pPr>
      <w:r>
        <w:t>The Industry Overview page contains:</w:t>
      </w:r>
    </w:p>
    <w:p w:rsidR="00A12EE2" w:rsidRDefault="00A12EE2" w:rsidP="00A12EE2">
      <w:pPr>
        <w:numPr>
          <w:ilvl w:val="0"/>
          <w:numId w:val="12"/>
        </w:numPr>
        <w:spacing w:before="100" w:beforeAutospacing="1" w:after="100" w:afterAutospacing="1" w:line="240" w:lineRule="auto"/>
      </w:pPr>
      <w:r>
        <w:t xml:space="preserve">Total Assets Under Management (AUM) </w:t>
      </w:r>
    </w:p>
    <w:p w:rsidR="00A12EE2" w:rsidRDefault="00A12EE2" w:rsidP="00A12EE2">
      <w:pPr>
        <w:numPr>
          <w:ilvl w:val="0"/>
          <w:numId w:val="12"/>
        </w:numPr>
        <w:spacing w:before="100" w:beforeAutospacing="1" w:after="100" w:afterAutospacing="1" w:line="240" w:lineRule="auto"/>
      </w:pPr>
      <w:r>
        <w:t xml:space="preserve">Total SIP Inflows </w:t>
      </w:r>
    </w:p>
    <w:p w:rsidR="00A12EE2" w:rsidRDefault="00A12EE2" w:rsidP="00A12EE2">
      <w:pPr>
        <w:numPr>
          <w:ilvl w:val="0"/>
          <w:numId w:val="12"/>
        </w:numPr>
        <w:spacing w:before="100" w:beforeAutospacing="1" w:after="100" w:afterAutospacing="1" w:line="240" w:lineRule="auto"/>
      </w:pPr>
      <w:r>
        <w:t xml:space="preserve">Number of Schemes </w:t>
      </w:r>
    </w:p>
    <w:p w:rsidR="00A12EE2" w:rsidRDefault="00A12EE2" w:rsidP="00A12EE2">
      <w:pPr>
        <w:numPr>
          <w:ilvl w:val="0"/>
          <w:numId w:val="12"/>
        </w:numPr>
        <w:spacing w:before="100" w:beforeAutospacing="1" w:after="100" w:afterAutospacing="1" w:line="240" w:lineRule="auto"/>
      </w:pPr>
      <w:r>
        <w:t xml:space="preserve">Fund House Statistics </w:t>
      </w:r>
    </w:p>
    <w:p w:rsidR="00A12EE2" w:rsidRDefault="00A12EE2" w:rsidP="00A12EE2">
      <w:pPr>
        <w:numPr>
          <w:ilvl w:val="0"/>
          <w:numId w:val="12"/>
        </w:numPr>
        <w:spacing w:before="100" w:beforeAutospacing="1" w:after="100" w:afterAutospacing="1" w:line="240" w:lineRule="auto"/>
      </w:pPr>
      <w:r>
        <w:t xml:space="preserve">Industry Growth Trends </w:t>
      </w:r>
    </w:p>
    <w:p w:rsidR="005D0152" w:rsidRDefault="005D0152" w:rsidP="00A12EE2">
      <w:pPr>
        <w:pStyle w:val="Heading5"/>
      </w:pPr>
      <w:r>
        <w:rPr>
          <w:rFonts w:ascii="Times New Roman" w:eastAsia="Times New Roman" w:hAnsi="Times New Roman" w:cs="Times New Roman"/>
          <w:noProof/>
          <w:sz w:val="24"/>
          <w:szCs w:val="24"/>
        </w:rPr>
        <w:lastRenderedPageBreak/>
        <w:drawing>
          <wp:inline distT="0" distB="0" distL="0" distR="0">
            <wp:extent cx="5943600" cy="2895848"/>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srcRect/>
                    <a:stretch>
                      <a:fillRect/>
                    </a:stretch>
                  </pic:blipFill>
                  <pic:spPr bwMode="auto">
                    <a:xfrm>
                      <a:off x="0" y="0"/>
                      <a:ext cx="5943600" cy="2895848"/>
                    </a:xfrm>
                    <a:prstGeom prst="rect">
                      <a:avLst/>
                    </a:prstGeom>
                    <a:noFill/>
                    <a:ln w="9525">
                      <a:noFill/>
                      <a:miter lim="800000"/>
                      <a:headEnd/>
                      <a:tailEnd/>
                    </a:ln>
                  </pic:spPr>
                </pic:pic>
              </a:graphicData>
            </a:graphic>
          </wp:inline>
        </w:drawing>
      </w:r>
    </w:p>
    <w:p w:rsidR="00A12EE2" w:rsidRPr="00FA621E" w:rsidRDefault="00A12EE2" w:rsidP="00A12EE2">
      <w:pPr>
        <w:pStyle w:val="Heading5"/>
        <w:rPr>
          <w:b/>
        </w:rPr>
      </w:pPr>
      <w:r w:rsidRPr="00FA621E">
        <w:rPr>
          <w:b/>
        </w:rPr>
        <w:t>Fund Performance</w:t>
      </w:r>
    </w:p>
    <w:p w:rsidR="00A12EE2" w:rsidRDefault="00A12EE2" w:rsidP="00A12EE2">
      <w:pPr>
        <w:pStyle w:val="NormalWeb"/>
      </w:pPr>
      <w:r>
        <w:t>The Fund Performance page provides:</w:t>
      </w:r>
    </w:p>
    <w:p w:rsidR="00A12EE2" w:rsidRDefault="00A12EE2" w:rsidP="00A12EE2">
      <w:pPr>
        <w:numPr>
          <w:ilvl w:val="0"/>
          <w:numId w:val="13"/>
        </w:numPr>
        <w:spacing w:before="100" w:beforeAutospacing="1" w:after="100" w:afterAutospacing="1" w:line="240" w:lineRule="auto"/>
      </w:pPr>
      <w:r>
        <w:t xml:space="preserve">Risk </w:t>
      </w:r>
      <w:proofErr w:type="spellStart"/>
      <w:r>
        <w:t>vs</w:t>
      </w:r>
      <w:proofErr w:type="spellEnd"/>
      <w:r>
        <w:t xml:space="preserve"> Return Scatter Plot </w:t>
      </w:r>
    </w:p>
    <w:p w:rsidR="00A12EE2" w:rsidRDefault="00A12EE2" w:rsidP="00A12EE2">
      <w:pPr>
        <w:numPr>
          <w:ilvl w:val="0"/>
          <w:numId w:val="13"/>
        </w:numPr>
        <w:spacing w:before="100" w:beforeAutospacing="1" w:after="100" w:afterAutospacing="1" w:line="240" w:lineRule="auto"/>
      </w:pPr>
      <w:r>
        <w:t xml:space="preserve">Fund Scorecard </w:t>
      </w:r>
    </w:p>
    <w:p w:rsidR="00A12EE2" w:rsidRDefault="00A12EE2" w:rsidP="00A12EE2">
      <w:pPr>
        <w:numPr>
          <w:ilvl w:val="0"/>
          <w:numId w:val="13"/>
        </w:numPr>
        <w:spacing w:before="100" w:beforeAutospacing="1" w:after="100" w:afterAutospacing="1" w:line="240" w:lineRule="auto"/>
      </w:pPr>
      <w:r>
        <w:t xml:space="preserve">Return Comparison Metrics </w:t>
      </w:r>
    </w:p>
    <w:p w:rsidR="00A12EE2" w:rsidRDefault="00A12EE2" w:rsidP="00A12EE2">
      <w:pPr>
        <w:numPr>
          <w:ilvl w:val="0"/>
          <w:numId w:val="13"/>
        </w:numPr>
        <w:spacing w:before="100" w:beforeAutospacing="1" w:after="100" w:afterAutospacing="1" w:line="240" w:lineRule="auto"/>
      </w:pPr>
      <w:r>
        <w:t xml:space="preserve">Benchmark Performance Analysis </w:t>
      </w:r>
    </w:p>
    <w:p w:rsidR="00A12EE2" w:rsidRDefault="00A12EE2" w:rsidP="00A12EE2">
      <w:pPr>
        <w:numPr>
          <w:ilvl w:val="0"/>
          <w:numId w:val="13"/>
        </w:numPr>
        <w:spacing w:before="100" w:beforeAutospacing="1" w:after="100" w:afterAutospacing="1" w:line="240" w:lineRule="auto"/>
      </w:pPr>
      <w:r>
        <w:t xml:space="preserve">Interactive Filters </w:t>
      </w:r>
    </w:p>
    <w:p w:rsidR="005D0152" w:rsidRDefault="005D0152" w:rsidP="00A12EE2">
      <w:pPr>
        <w:pStyle w:val="Heading5"/>
      </w:pPr>
      <w:r>
        <w:rPr>
          <w:rFonts w:ascii="Times New Roman" w:eastAsia="Times New Roman" w:hAnsi="Times New Roman" w:cs="Times New Roman"/>
          <w:noProof/>
          <w:sz w:val="24"/>
          <w:szCs w:val="24"/>
        </w:rPr>
        <w:lastRenderedPageBreak/>
        <w:drawing>
          <wp:inline distT="0" distB="0" distL="0" distR="0">
            <wp:extent cx="5943600" cy="2860977"/>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srcRect/>
                    <a:stretch>
                      <a:fillRect/>
                    </a:stretch>
                  </pic:blipFill>
                  <pic:spPr bwMode="auto">
                    <a:xfrm>
                      <a:off x="0" y="0"/>
                      <a:ext cx="5943600" cy="2860977"/>
                    </a:xfrm>
                    <a:prstGeom prst="rect">
                      <a:avLst/>
                    </a:prstGeom>
                    <a:noFill/>
                    <a:ln w="9525">
                      <a:noFill/>
                      <a:miter lim="800000"/>
                      <a:headEnd/>
                      <a:tailEnd/>
                    </a:ln>
                  </pic:spPr>
                </pic:pic>
              </a:graphicData>
            </a:graphic>
          </wp:inline>
        </w:drawing>
      </w:r>
    </w:p>
    <w:p w:rsidR="00A12EE2" w:rsidRPr="00FA621E" w:rsidRDefault="00A12EE2" w:rsidP="00A12EE2">
      <w:pPr>
        <w:pStyle w:val="Heading5"/>
        <w:rPr>
          <w:b/>
        </w:rPr>
      </w:pPr>
      <w:r w:rsidRPr="00FA621E">
        <w:rPr>
          <w:b/>
        </w:rPr>
        <w:t>Investor Analytics</w:t>
      </w:r>
    </w:p>
    <w:p w:rsidR="00A12EE2" w:rsidRDefault="00A12EE2" w:rsidP="00A12EE2">
      <w:pPr>
        <w:pStyle w:val="NormalWeb"/>
      </w:pPr>
      <w:r>
        <w:t>The Investor Analytics page includes:</w:t>
      </w:r>
    </w:p>
    <w:p w:rsidR="00A12EE2" w:rsidRDefault="00A12EE2" w:rsidP="00A12EE2">
      <w:pPr>
        <w:numPr>
          <w:ilvl w:val="0"/>
          <w:numId w:val="14"/>
        </w:numPr>
        <w:spacing w:before="100" w:beforeAutospacing="1" w:after="100" w:afterAutospacing="1" w:line="240" w:lineRule="auto"/>
      </w:pPr>
      <w:r>
        <w:t xml:space="preserve">State-wise Transaction Analysis </w:t>
      </w:r>
    </w:p>
    <w:p w:rsidR="00A12EE2" w:rsidRDefault="00A12EE2" w:rsidP="00A12EE2">
      <w:pPr>
        <w:numPr>
          <w:ilvl w:val="0"/>
          <w:numId w:val="14"/>
        </w:numPr>
        <w:spacing w:before="100" w:beforeAutospacing="1" w:after="100" w:afterAutospacing="1" w:line="240" w:lineRule="auto"/>
      </w:pPr>
      <w:r>
        <w:t xml:space="preserve">Age Group Analysis </w:t>
      </w:r>
    </w:p>
    <w:p w:rsidR="00A12EE2" w:rsidRDefault="00A12EE2" w:rsidP="00A12EE2">
      <w:pPr>
        <w:numPr>
          <w:ilvl w:val="0"/>
          <w:numId w:val="14"/>
        </w:numPr>
        <w:spacing w:before="100" w:beforeAutospacing="1" w:after="100" w:afterAutospacing="1" w:line="240" w:lineRule="auto"/>
      </w:pPr>
      <w:r>
        <w:t xml:space="preserve">Transaction Type Distribution </w:t>
      </w:r>
    </w:p>
    <w:p w:rsidR="00A12EE2" w:rsidRDefault="00A12EE2" w:rsidP="00A12EE2">
      <w:pPr>
        <w:numPr>
          <w:ilvl w:val="0"/>
          <w:numId w:val="14"/>
        </w:numPr>
        <w:spacing w:before="100" w:beforeAutospacing="1" w:after="100" w:afterAutospacing="1" w:line="240" w:lineRule="auto"/>
      </w:pPr>
      <w:r>
        <w:t xml:space="preserve">Monthly Transaction Trends </w:t>
      </w:r>
    </w:p>
    <w:p w:rsidR="005D0152" w:rsidRDefault="005D0152" w:rsidP="00A12EE2">
      <w:pPr>
        <w:pStyle w:val="Heading5"/>
      </w:pPr>
      <w:r>
        <w:rPr>
          <w:rFonts w:ascii="Times New Roman" w:eastAsia="Times New Roman" w:hAnsi="Times New Roman" w:cs="Times New Roman"/>
          <w:noProof/>
          <w:sz w:val="24"/>
          <w:szCs w:val="24"/>
        </w:rPr>
        <w:drawing>
          <wp:inline distT="0" distB="0" distL="0" distR="0">
            <wp:extent cx="5943600" cy="2929744"/>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cstate="print"/>
                    <a:srcRect/>
                    <a:stretch>
                      <a:fillRect/>
                    </a:stretch>
                  </pic:blipFill>
                  <pic:spPr bwMode="auto">
                    <a:xfrm>
                      <a:off x="0" y="0"/>
                      <a:ext cx="5943600" cy="2929744"/>
                    </a:xfrm>
                    <a:prstGeom prst="rect">
                      <a:avLst/>
                    </a:prstGeom>
                    <a:noFill/>
                    <a:ln w="9525">
                      <a:noFill/>
                      <a:miter lim="800000"/>
                      <a:headEnd/>
                      <a:tailEnd/>
                    </a:ln>
                  </pic:spPr>
                </pic:pic>
              </a:graphicData>
            </a:graphic>
          </wp:inline>
        </w:drawing>
      </w:r>
    </w:p>
    <w:p w:rsidR="00A12EE2" w:rsidRPr="00FA621E" w:rsidRDefault="00A12EE2" w:rsidP="00A12EE2">
      <w:pPr>
        <w:pStyle w:val="Heading5"/>
        <w:rPr>
          <w:b/>
        </w:rPr>
      </w:pPr>
      <w:r w:rsidRPr="00FA621E">
        <w:rPr>
          <w:b/>
        </w:rPr>
        <w:t>Market Trends</w:t>
      </w:r>
    </w:p>
    <w:p w:rsidR="00A12EE2" w:rsidRDefault="00A12EE2" w:rsidP="00A12EE2">
      <w:pPr>
        <w:pStyle w:val="NormalWeb"/>
      </w:pPr>
      <w:r>
        <w:t>The Market Trends page contains:</w:t>
      </w:r>
    </w:p>
    <w:p w:rsidR="00A12EE2" w:rsidRDefault="00A12EE2" w:rsidP="00A12EE2">
      <w:pPr>
        <w:numPr>
          <w:ilvl w:val="0"/>
          <w:numId w:val="15"/>
        </w:numPr>
        <w:spacing w:before="100" w:beforeAutospacing="1" w:after="100" w:afterAutospacing="1" w:line="240" w:lineRule="auto"/>
      </w:pPr>
      <w:r>
        <w:lastRenderedPageBreak/>
        <w:t xml:space="preserve">SIP Growth Trends </w:t>
      </w:r>
    </w:p>
    <w:p w:rsidR="00A12EE2" w:rsidRDefault="00A12EE2" w:rsidP="00A12EE2">
      <w:pPr>
        <w:numPr>
          <w:ilvl w:val="0"/>
          <w:numId w:val="15"/>
        </w:numPr>
        <w:spacing w:before="100" w:beforeAutospacing="1" w:after="100" w:afterAutospacing="1" w:line="240" w:lineRule="auto"/>
      </w:pPr>
      <w:r>
        <w:t xml:space="preserve">Category Inflow Analysis </w:t>
      </w:r>
    </w:p>
    <w:p w:rsidR="00A12EE2" w:rsidRDefault="00A12EE2" w:rsidP="00A12EE2">
      <w:pPr>
        <w:numPr>
          <w:ilvl w:val="0"/>
          <w:numId w:val="15"/>
        </w:numPr>
        <w:spacing w:before="100" w:beforeAutospacing="1" w:after="100" w:afterAutospacing="1" w:line="240" w:lineRule="auto"/>
      </w:pPr>
      <w:r>
        <w:t xml:space="preserve">Industry Trend Visualizations </w:t>
      </w:r>
    </w:p>
    <w:p w:rsidR="00A12EE2" w:rsidRDefault="00A12EE2" w:rsidP="00A12EE2">
      <w:pPr>
        <w:numPr>
          <w:ilvl w:val="0"/>
          <w:numId w:val="15"/>
        </w:numPr>
        <w:spacing w:before="100" w:beforeAutospacing="1" w:after="100" w:afterAutospacing="1" w:line="240" w:lineRule="auto"/>
      </w:pPr>
      <w:r>
        <w:t xml:space="preserve">Market Participation Metrics </w:t>
      </w:r>
    </w:p>
    <w:p w:rsidR="00A43C1D" w:rsidRDefault="005D0152" w:rsidP="00A12EE2">
      <w:pPr>
        <w:pStyle w:val="Heading4"/>
      </w:pPr>
      <w:r>
        <w:rPr>
          <w:noProof/>
        </w:rPr>
        <w:drawing>
          <wp:inline distT="0" distB="0" distL="0" distR="0">
            <wp:extent cx="5943600" cy="3038465"/>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cstate="print"/>
                    <a:srcRect/>
                    <a:stretch>
                      <a:fillRect/>
                    </a:stretch>
                  </pic:blipFill>
                  <pic:spPr bwMode="auto">
                    <a:xfrm>
                      <a:off x="0" y="0"/>
                      <a:ext cx="5943600" cy="3038465"/>
                    </a:xfrm>
                    <a:prstGeom prst="rect">
                      <a:avLst/>
                    </a:prstGeom>
                    <a:noFill/>
                    <a:ln w="9525">
                      <a:noFill/>
                      <a:miter lim="800000"/>
                      <a:headEnd/>
                      <a:tailEnd/>
                    </a:ln>
                  </pic:spPr>
                </pic:pic>
              </a:graphicData>
            </a:graphic>
          </wp:inline>
        </w:drawing>
      </w:r>
    </w:p>
    <w:p w:rsidR="00A12EE2" w:rsidRDefault="00A12EE2" w:rsidP="00A12EE2">
      <w:pPr>
        <w:pStyle w:val="Heading4"/>
      </w:pPr>
      <w:r>
        <w:t>Benefits of the Dashboard</w:t>
      </w:r>
    </w:p>
    <w:p w:rsidR="00A12EE2" w:rsidRDefault="00A12EE2" w:rsidP="00A12EE2">
      <w:pPr>
        <w:numPr>
          <w:ilvl w:val="0"/>
          <w:numId w:val="16"/>
        </w:numPr>
        <w:spacing w:before="100" w:beforeAutospacing="1" w:after="100" w:afterAutospacing="1" w:line="240" w:lineRule="auto"/>
      </w:pPr>
      <w:r>
        <w:t xml:space="preserve">Real-time visual analysis of mutual fund data. </w:t>
      </w:r>
    </w:p>
    <w:p w:rsidR="00A12EE2" w:rsidRDefault="00A12EE2" w:rsidP="00A12EE2">
      <w:pPr>
        <w:numPr>
          <w:ilvl w:val="0"/>
          <w:numId w:val="16"/>
        </w:numPr>
        <w:spacing w:before="100" w:beforeAutospacing="1" w:after="100" w:afterAutospacing="1" w:line="240" w:lineRule="auto"/>
      </w:pPr>
      <w:r>
        <w:t xml:space="preserve">Interactive filtering and drill-down capabilities. </w:t>
      </w:r>
    </w:p>
    <w:p w:rsidR="00A12EE2" w:rsidRDefault="00A12EE2" w:rsidP="00A12EE2">
      <w:pPr>
        <w:numPr>
          <w:ilvl w:val="0"/>
          <w:numId w:val="16"/>
        </w:numPr>
        <w:spacing w:before="100" w:beforeAutospacing="1" w:after="100" w:afterAutospacing="1" w:line="240" w:lineRule="auto"/>
      </w:pPr>
      <w:r>
        <w:t xml:space="preserve">Simplified interpretation of complex financial information. </w:t>
      </w:r>
    </w:p>
    <w:p w:rsidR="00A12EE2" w:rsidRDefault="00A12EE2" w:rsidP="00A12EE2">
      <w:pPr>
        <w:numPr>
          <w:ilvl w:val="0"/>
          <w:numId w:val="16"/>
        </w:numPr>
        <w:spacing w:before="100" w:beforeAutospacing="1" w:after="100" w:afterAutospacing="1" w:line="240" w:lineRule="auto"/>
      </w:pPr>
      <w:r>
        <w:t>Improved decision-making support for investors and analysts.</w:t>
      </w:r>
    </w:p>
    <w:p w:rsidR="00A12EE2" w:rsidRPr="00F6757F" w:rsidRDefault="00A12EE2" w:rsidP="00F6757F">
      <w:pPr>
        <w:rPr>
          <w:rFonts w:ascii="Times New Roman" w:hAnsi="Times New Roman" w:cs="Times New Roman"/>
          <w:sz w:val="24"/>
          <w:szCs w:val="24"/>
        </w:rPr>
      </w:pPr>
    </w:p>
    <w:p w:rsidR="00F6757F" w:rsidRPr="00F6757F" w:rsidRDefault="00F6757F" w:rsidP="00F6757F">
      <w:pPr>
        <w:rPr>
          <w:rFonts w:ascii="Times New Roman" w:hAnsi="Times New Roman" w:cs="Times New Roman"/>
          <w:sz w:val="24"/>
          <w:szCs w:val="24"/>
        </w:rPr>
      </w:pPr>
    </w:p>
    <w:p w:rsidR="00F6757F" w:rsidRPr="00FA621E" w:rsidRDefault="00F6757F" w:rsidP="00F6757F">
      <w:pPr>
        <w:rPr>
          <w:rFonts w:ascii="Times New Roman" w:hAnsi="Times New Roman" w:cs="Times New Roman"/>
          <w:b/>
          <w:sz w:val="24"/>
          <w:szCs w:val="24"/>
        </w:rPr>
      </w:pPr>
      <w:r w:rsidRPr="00FA621E">
        <w:rPr>
          <w:rFonts w:ascii="Times New Roman" w:hAnsi="Times New Roman" w:cs="Times New Roman"/>
          <w:b/>
          <w:sz w:val="24"/>
          <w:szCs w:val="24"/>
        </w:rPr>
        <w:t>9. Advanced Analytics &amp; Risk Metrics</w:t>
      </w:r>
    </w:p>
    <w:p w:rsidR="00A12EE2" w:rsidRDefault="00A12EE2" w:rsidP="00A12EE2">
      <w:pPr>
        <w:pStyle w:val="NormalWeb"/>
      </w:pPr>
      <w:r>
        <w:t>Advanced analytical techniques were applied to evaluate investment risk, investor behavior, and portfolio concentration.</w:t>
      </w:r>
    </w:p>
    <w:p w:rsidR="00A12EE2" w:rsidRDefault="00A12EE2" w:rsidP="00A12EE2">
      <w:pPr>
        <w:pStyle w:val="Heading4"/>
      </w:pPr>
      <w:r>
        <w:t>Value at Risk (</w:t>
      </w:r>
      <w:proofErr w:type="spellStart"/>
      <w:r>
        <w:t>VaR</w:t>
      </w:r>
      <w:proofErr w:type="spellEnd"/>
      <w:r>
        <w:t>)</w:t>
      </w:r>
    </w:p>
    <w:p w:rsidR="00A12EE2" w:rsidRDefault="00A12EE2" w:rsidP="00A12EE2">
      <w:pPr>
        <w:pStyle w:val="NormalWeb"/>
      </w:pPr>
      <w:r>
        <w:t>Value at Risk (</w:t>
      </w:r>
      <w:proofErr w:type="spellStart"/>
      <w:r>
        <w:t>VaR</w:t>
      </w:r>
      <w:proofErr w:type="spellEnd"/>
      <w:r>
        <w:t>) was calculated using the historical simulation method at the 95% confidence level.</w:t>
      </w:r>
    </w:p>
    <w:p w:rsidR="00A12EE2" w:rsidRDefault="00A12EE2" w:rsidP="00A12EE2">
      <w:pPr>
        <w:pStyle w:val="NormalWeb"/>
      </w:pPr>
      <w:r>
        <w:t>Purpose:</w:t>
      </w:r>
    </w:p>
    <w:p w:rsidR="00A12EE2" w:rsidRDefault="00A12EE2" w:rsidP="00A12EE2">
      <w:pPr>
        <w:numPr>
          <w:ilvl w:val="0"/>
          <w:numId w:val="17"/>
        </w:numPr>
        <w:spacing w:before="100" w:beforeAutospacing="1" w:after="100" w:afterAutospacing="1" w:line="240" w:lineRule="auto"/>
      </w:pPr>
      <w:r>
        <w:lastRenderedPageBreak/>
        <w:t xml:space="preserve">Estimates the maximum expected loss under normal market conditions. </w:t>
      </w:r>
    </w:p>
    <w:p w:rsidR="00A12EE2" w:rsidRDefault="00A12EE2" w:rsidP="00A12EE2">
      <w:pPr>
        <w:numPr>
          <w:ilvl w:val="0"/>
          <w:numId w:val="17"/>
        </w:numPr>
        <w:spacing w:before="100" w:beforeAutospacing="1" w:after="100" w:afterAutospacing="1" w:line="240" w:lineRule="auto"/>
      </w:pPr>
      <w:r>
        <w:t xml:space="preserve">Helps investors understand downside risk exposure. </w:t>
      </w:r>
    </w:p>
    <w:p w:rsidR="00A12EE2" w:rsidRDefault="00A12EE2" w:rsidP="00A12EE2">
      <w:pPr>
        <w:pStyle w:val="NormalWeb"/>
      </w:pPr>
      <w:r>
        <w:t>Key observations:</w:t>
      </w:r>
    </w:p>
    <w:p w:rsidR="00A12EE2" w:rsidRDefault="00A12EE2" w:rsidP="00A12EE2">
      <w:pPr>
        <w:numPr>
          <w:ilvl w:val="0"/>
          <w:numId w:val="18"/>
        </w:numPr>
        <w:spacing w:before="100" w:beforeAutospacing="1" w:after="100" w:afterAutospacing="1" w:line="240" w:lineRule="auto"/>
      </w:pPr>
      <w:r>
        <w:t xml:space="preserve">High-risk funds exhibited larger </w:t>
      </w:r>
      <w:proofErr w:type="spellStart"/>
      <w:r>
        <w:t>VaR</w:t>
      </w:r>
      <w:proofErr w:type="spellEnd"/>
      <w:r>
        <w:t xml:space="preserve"> values. </w:t>
      </w:r>
    </w:p>
    <w:p w:rsidR="00A12EE2" w:rsidRDefault="00A12EE2" w:rsidP="00A12EE2">
      <w:pPr>
        <w:numPr>
          <w:ilvl w:val="0"/>
          <w:numId w:val="18"/>
        </w:numPr>
        <w:spacing w:before="100" w:beforeAutospacing="1" w:after="100" w:afterAutospacing="1" w:line="240" w:lineRule="auto"/>
      </w:pPr>
      <w:r>
        <w:t xml:space="preserve">Conservative funds showed relatively lower risk exposure. </w:t>
      </w:r>
    </w:p>
    <w:p w:rsidR="00A12EE2" w:rsidRDefault="00A12EE2" w:rsidP="00A12EE2">
      <w:pPr>
        <w:pStyle w:val="Heading4"/>
      </w:pPr>
      <w:r>
        <w:t>Conditional Value at Risk (</w:t>
      </w:r>
      <w:proofErr w:type="spellStart"/>
      <w:r>
        <w:t>CVaR</w:t>
      </w:r>
      <w:proofErr w:type="spellEnd"/>
      <w:r>
        <w:t>)</w:t>
      </w:r>
    </w:p>
    <w:p w:rsidR="00A12EE2" w:rsidRDefault="00A12EE2" w:rsidP="00A12EE2">
      <w:pPr>
        <w:pStyle w:val="NormalWeb"/>
      </w:pPr>
      <w:r>
        <w:t>Conditional Value at Risk (</w:t>
      </w:r>
      <w:proofErr w:type="spellStart"/>
      <w:r>
        <w:t>CVaR</w:t>
      </w:r>
      <w:proofErr w:type="spellEnd"/>
      <w:r>
        <w:t xml:space="preserve">) was calculated as the average loss beyond the </w:t>
      </w:r>
      <w:proofErr w:type="spellStart"/>
      <w:r>
        <w:t>VaR</w:t>
      </w:r>
      <w:proofErr w:type="spellEnd"/>
      <w:r>
        <w:t xml:space="preserve"> threshold.</w:t>
      </w:r>
    </w:p>
    <w:p w:rsidR="00A12EE2" w:rsidRPr="00FA621E" w:rsidRDefault="00A12EE2" w:rsidP="00A12EE2">
      <w:pPr>
        <w:pStyle w:val="NormalWeb"/>
        <w:rPr>
          <w:b/>
        </w:rPr>
      </w:pPr>
      <w:r w:rsidRPr="00FA621E">
        <w:rPr>
          <w:b/>
        </w:rPr>
        <w:t>Benefits:</w:t>
      </w:r>
    </w:p>
    <w:p w:rsidR="00A12EE2" w:rsidRDefault="00A12EE2" w:rsidP="00A12EE2">
      <w:pPr>
        <w:numPr>
          <w:ilvl w:val="0"/>
          <w:numId w:val="19"/>
        </w:numPr>
        <w:spacing w:before="100" w:beforeAutospacing="1" w:after="100" w:afterAutospacing="1" w:line="240" w:lineRule="auto"/>
      </w:pPr>
      <w:r>
        <w:t xml:space="preserve">Provides a more comprehensive view of extreme downside risk. </w:t>
      </w:r>
    </w:p>
    <w:p w:rsidR="00A12EE2" w:rsidRDefault="00A12EE2" w:rsidP="00A12EE2">
      <w:pPr>
        <w:numPr>
          <w:ilvl w:val="0"/>
          <w:numId w:val="19"/>
        </w:numPr>
        <w:spacing w:before="100" w:beforeAutospacing="1" w:after="100" w:afterAutospacing="1" w:line="240" w:lineRule="auto"/>
      </w:pPr>
      <w:r>
        <w:t xml:space="preserve">Complements </w:t>
      </w:r>
      <w:proofErr w:type="spellStart"/>
      <w:r>
        <w:t>VaR</w:t>
      </w:r>
      <w:proofErr w:type="spellEnd"/>
      <w:r>
        <w:t xml:space="preserve"> analysis for risk management. </w:t>
      </w:r>
    </w:p>
    <w:p w:rsidR="00A12EE2" w:rsidRDefault="00A12EE2" w:rsidP="00A12EE2">
      <w:pPr>
        <w:pStyle w:val="Heading4"/>
      </w:pPr>
      <w:r>
        <w:t>Rolling Sharpe Ratio</w:t>
      </w:r>
    </w:p>
    <w:p w:rsidR="00A12EE2" w:rsidRDefault="00A12EE2" w:rsidP="00A12EE2">
      <w:pPr>
        <w:pStyle w:val="NormalWeb"/>
      </w:pPr>
      <w:r>
        <w:t>A rolling 90-day Sharpe Ratio was calculated to evaluate changes in risk-adjusted performance over time.</w:t>
      </w:r>
    </w:p>
    <w:p w:rsidR="00A12EE2" w:rsidRDefault="00A12EE2" w:rsidP="00A12EE2">
      <w:pPr>
        <w:pStyle w:val="NormalWeb"/>
      </w:pPr>
      <w:r>
        <w:t>Key observations:</w:t>
      </w:r>
    </w:p>
    <w:p w:rsidR="00A12EE2" w:rsidRDefault="00A12EE2" w:rsidP="00A12EE2">
      <w:pPr>
        <w:numPr>
          <w:ilvl w:val="0"/>
          <w:numId w:val="20"/>
        </w:numPr>
        <w:spacing w:before="100" w:beforeAutospacing="1" w:after="100" w:afterAutospacing="1" w:line="240" w:lineRule="auto"/>
      </w:pPr>
      <w:r>
        <w:t xml:space="preserve">Performance varied across different market conditions. </w:t>
      </w:r>
    </w:p>
    <w:p w:rsidR="00A12EE2" w:rsidRDefault="00A12EE2" w:rsidP="00A12EE2">
      <w:pPr>
        <w:numPr>
          <w:ilvl w:val="0"/>
          <w:numId w:val="20"/>
        </w:numPr>
        <w:spacing w:before="100" w:beforeAutospacing="1" w:after="100" w:afterAutospacing="1" w:line="240" w:lineRule="auto"/>
      </w:pPr>
      <w:r>
        <w:t xml:space="preserve">Some schemes maintained consistently strong risk-adjusted returns. </w:t>
      </w:r>
    </w:p>
    <w:p w:rsidR="00A12EE2" w:rsidRDefault="00A43C1D" w:rsidP="00A12EE2">
      <w:pPr>
        <w:pStyle w:val="Heading4"/>
      </w:pPr>
      <w:r>
        <w:rPr>
          <w:noProof/>
        </w:rPr>
        <w:drawing>
          <wp:inline distT="0" distB="0" distL="0" distR="0">
            <wp:extent cx="5943600" cy="3143250"/>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cstate="print"/>
                    <a:srcRect/>
                    <a:stretch>
                      <a:fillRect/>
                    </a:stretch>
                  </pic:blipFill>
                  <pic:spPr bwMode="auto">
                    <a:xfrm>
                      <a:off x="0" y="0"/>
                      <a:ext cx="5943600" cy="3143250"/>
                    </a:xfrm>
                    <a:prstGeom prst="rect">
                      <a:avLst/>
                    </a:prstGeom>
                    <a:noFill/>
                    <a:ln w="9525">
                      <a:noFill/>
                      <a:miter lim="800000"/>
                      <a:headEnd/>
                      <a:tailEnd/>
                    </a:ln>
                  </pic:spPr>
                </pic:pic>
              </a:graphicData>
            </a:graphic>
          </wp:inline>
        </w:drawing>
      </w:r>
      <w:r w:rsidR="00A12EE2">
        <w:t>Investor Cohort Analysis</w:t>
      </w:r>
    </w:p>
    <w:p w:rsidR="00A12EE2" w:rsidRDefault="00A12EE2" w:rsidP="00A12EE2">
      <w:pPr>
        <w:pStyle w:val="NormalWeb"/>
      </w:pPr>
      <w:r>
        <w:lastRenderedPageBreak/>
        <w:t>Investors were grouped according to the year of their first transaction.</w:t>
      </w:r>
    </w:p>
    <w:p w:rsidR="00A12EE2" w:rsidRDefault="00A12EE2" w:rsidP="00A12EE2">
      <w:pPr>
        <w:pStyle w:val="NormalWeb"/>
      </w:pPr>
      <w:r>
        <w:t>Findings:</w:t>
      </w:r>
    </w:p>
    <w:p w:rsidR="00A12EE2" w:rsidRDefault="00A12EE2" w:rsidP="00A12EE2">
      <w:pPr>
        <w:numPr>
          <w:ilvl w:val="0"/>
          <w:numId w:val="21"/>
        </w:numPr>
        <w:spacing w:before="100" w:beforeAutospacing="1" w:after="100" w:afterAutospacing="1" w:line="240" w:lineRule="auto"/>
      </w:pPr>
      <w:r>
        <w:t xml:space="preserve">The majority of investors joined during 2024. </w:t>
      </w:r>
    </w:p>
    <w:p w:rsidR="00A12EE2" w:rsidRDefault="00A12EE2" w:rsidP="00A12EE2">
      <w:pPr>
        <w:numPr>
          <w:ilvl w:val="0"/>
          <w:numId w:val="21"/>
        </w:numPr>
        <w:spacing w:before="100" w:beforeAutospacing="1" w:after="100" w:afterAutospacing="1" w:line="240" w:lineRule="auto"/>
      </w:pPr>
      <w:r>
        <w:t xml:space="preserve">New investor acquisition slowed during the later period. </w:t>
      </w:r>
    </w:p>
    <w:p w:rsidR="00A12EE2" w:rsidRDefault="00A12EE2" w:rsidP="00A12EE2">
      <w:pPr>
        <w:pStyle w:val="Heading4"/>
      </w:pPr>
      <w:r>
        <w:t>SIP Continuity Analysis</w:t>
      </w:r>
    </w:p>
    <w:p w:rsidR="00A12EE2" w:rsidRDefault="00A12EE2" w:rsidP="00A12EE2">
      <w:pPr>
        <w:pStyle w:val="NormalWeb"/>
      </w:pPr>
      <w:r>
        <w:t>SIP transaction behavior was analyzed by measuring the average gap between transactions.</w:t>
      </w:r>
    </w:p>
    <w:p w:rsidR="00A12EE2" w:rsidRDefault="00A12EE2" w:rsidP="00A12EE2">
      <w:pPr>
        <w:pStyle w:val="NormalWeb"/>
      </w:pPr>
      <w:r>
        <w:t>Purpose:</w:t>
      </w:r>
    </w:p>
    <w:p w:rsidR="00A12EE2" w:rsidRDefault="00A12EE2" w:rsidP="00A12EE2">
      <w:pPr>
        <w:numPr>
          <w:ilvl w:val="0"/>
          <w:numId w:val="22"/>
        </w:numPr>
        <w:spacing w:before="100" w:beforeAutospacing="1" w:after="100" w:afterAutospacing="1" w:line="240" w:lineRule="auto"/>
      </w:pPr>
      <w:r>
        <w:t xml:space="preserve">Identify investors at risk of discontinuing SIP investments. </w:t>
      </w:r>
    </w:p>
    <w:p w:rsidR="00A12EE2" w:rsidRDefault="00A12EE2" w:rsidP="00A12EE2">
      <w:pPr>
        <w:numPr>
          <w:ilvl w:val="0"/>
          <w:numId w:val="22"/>
        </w:numPr>
        <w:spacing w:before="100" w:beforeAutospacing="1" w:after="100" w:afterAutospacing="1" w:line="240" w:lineRule="auto"/>
      </w:pPr>
      <w:r>
        <w:t xml:space="preserve">Measure investor engagement and consistency. </w:t>
      </w:r>
    </w:p>
    <w:p w:rsidR="00A12EE2" w:rsidRDefault="00A12EE2" w:rsidP="00A12EE2">
      <w:pPr>
        <w:pStyle w:val="Heading4"/>
      </w:pPr>
      <w:r>
        <w:t>Fund Recommendation System</w:t>
      </w:r>
    </w:p>
    <w:p w:rsidR="00A12EE2" w:rsidRDefault="00A12EE2" w:rsidP="00A12EE2">
      <w:pPr>
        <w:pStyle w:val="NormalWeb"/>
      </w:pPr>
      <w:r>
        <w:t>A recommendation model was developed using:</w:t>
      </w:r>
    </w:p>
    <w:p w:rsidR="00A12EE2" w:rsidRDefault="00A12EE2" w:rsidP="00A12EE2">
      <w:pPr>
        <w:numPr>
          <w:ilvl w:val="0"/>
          <w:numId w:val="23"/>
        </w:numPr>
        <w:spacing w:before="100" w:beforeAutospacing="1" w:after="100" w:afterAutospacing="1" w:line="240" w:lineRule="auto"/>
      </w:pPr>
      <w:r>
        <w:t xml:space="preserve">Risk Grade </w:t>
      </w:r>
    </w:p>
    <w:p w:rsidR="00A12EE2" w:rsidRDefault="00A12EE2" w:rsidP="00A12EE2">
      <w:pPr>
        <w:numPr>
          <w:ilvl w:val="0"/>
          <w:numId w:val="23"/>
        </w:numPr>
        <w:spacing w:before="100" w:beforeAutospacing="1" w:after="100" w:afterAutospacing="1" w:line="240" w:lineRule="auto"/>
      </w:pPr>
      <w:r>
        <w:t xml:space="preserve">Sharpe Ratio </w:t>
      </w:r>
    </w:p>
    <w:p w:rsidR="00A12EE2" w:rsidRDefault="00A12EE2" w:rsidP="00A12EE2">
      <w:pPr>
        <w:numPr>
          <w:ilvl w:val="0"/>
          <w:numId w:val="23"/>
        </w:numPr>
        <w:spacing w:before="100" w:beforeAutospacing="1" w:after="100" w:afterAutospacing="1" w:line="240" w:lineRule="auto"/>
      </w:pPr>
      <w:r>
        <w:t xml:space="preserve">Historical Performance </w:t>
      </w:r>
    </w:p>
    <w:p w:rsidR="00A12EE2" w:rsidRDefault="00A12EE2" w:rsidP="00A12EE2">
      <w:pPr>
        <w:pStyle w:val="NormalWeb"/>
      </w:pPr>
      <w:r>
        <w:t>The system recommends top-performing schemes within a selected risk category.</w:t>
      </w:r>
    </w:p>
    <w:p w:rsidR="00A12EE2" w:rsidRDefault="00A12EE2" w:rsidP="00A12EE2">
      <w:pPr>
        <w:pStyle w:val="Heading4"/>
      </w:pPr>
      <w:r>
        <w:t>Sector Concentration Analysis (HHI)</w:t>
      </w:r>
    </w:p>
    <w:p w:rsidR="00A12EE2" w:rsidRDefault="00A12EE2" w:rsidP="00A12EE2">
      <w:pPr>
        <w:pStyle w:val="NormalWeb"/>
      </w:pPr>
      <w:r>
        <w:t xml:space="preserve">The </w:t>
      </w:r>
      <w:proofErr w:type="spellStart"/>
      <w:r>
        <w:t>Herfindahl</w:t>
      </w:r>
      <w:proofErr w:type="spellEnd"/>
      <w:r>
        <w:t>-Hirschman Index (HHI) was used to measure portfolio concentration across sectors.</w:t>
      </w:r>
    </w:p>
    <w:p w:rsidR="00A12EE2" w:rsidRPr="00FA621E" w:rsidRDefault="00A12EE2" w:rsidP="00A12EE2">
      <w:pPr>
        <w:pStyle w:val="NormalWeb"/>
        <w:rPr>
          <w:b/>
        </w:rPr>
      </w:pPr>
      <w:r w:rsidRPr="00FA621E">
        <w:rPr>
          <w:b/>
        </w:rPr>
        <w:t>Benefits:</w:t>
      </w:r>
    </w:p>
    <w:p w:rsidR="00A12EE2" w:rsidRDefault="00A12EE2" w:rsidP="00A12EE2">
      <w:pPr>
        <w:numPr>
          <w:ilvl w:val="0"/>
          <w:numId w:val="24"/>
        </w:numPr>
        <w:spacing w:before="100" w:beforeAutospacing="1" w:after="100" w:afterAutospacing="1" w:line="240" w:lineRule="auto"/>
      </w:pPr>
      <w:r>
        <w:t xml:space="preserve">Quantifies diversification levels. </w:t>
      </w:r>
    </w:p>
    <w:p w:rsidR="00A12EE2" w:rsidRDefault="00A12EE2" w:rsidP="00A12EE2">
      <w:pPr>
        <w:numPr>
          <w:ilvl w:val="0"/>
          <w:numId w:val="24"/>
        </w:numPr>
        <w:spacing w:before="100" w:beforeAutospacing="1" w:after="100" w:afterAutospacing="1" w:line="240" w:lineRule="auto"/>
      </w:pPr>
      <w:r>
        <w:t>Identifies portfolios with excessive sector concentration.</w:t>
      </w:r>
    </w:p>
    <w:p w:rsidR="00F6757F" w:rsidRPr="00F6757F" w:rsidRDefault="00F6757F" w:rsidP="00F6757F">
      <w:pPr>
        <w:rPr>
          <w:rFonts w:ascii="Times New Roman" w:hAnsi="Times New Roman" w:cs="Times New Roman"/>
          <w:sz w:val="24"/>
          <w:szCs w:val="24"/>
        </w:rPr>
      </w:pPr>
    </w:p>
    <w:p w:rsidR="00F6757F" w:rsidRPr="00FA621E" w:rsidRDefault="00F6757F" w:rsidP="00F6757F">
      <w:pPr>
        <w:rPr>
          <w:rFonts w:ascii="Times New Roman" w:hAnsi="Times New Roman" w:cs="Times New Roman"/>
          <w:b/>
          <w:sz w:val="24"/>
          <w:szCs w:val="24"/>
        </w:rPr>
      </w:pPr>
      <w:r w:rsidRPr="00FA621E">
        <w:rPr>
          <w:rFonts w:ascii="Times New Roman" w:hAnsi="Times New Roman" w:cs="Times New Roman"/>
          <w:b/>
          <w:sz w:val="24"/>
          <w:szCs w:val="24"/>
        </w:rPr>
        <w:t>10. Key Insights</w:t>
      </w:r>
    </w:p>
    <w:p w:rsidR="00A12EE2" w:rsidRDefault="00A12EE2" w:rsidP="00A12EE2">
      <w:pPr>
        <w:numPr>
          <w:ilvl w:val="0"/>
          <w:numId w:val="25"/>
        </w:numPr>
        <w:spacing w:before="100" w:beforeAutospacing="1" w:after="100" w:afterAutospacing="1" w:line="240" w:lineRule="auto"/>
      </w:pPr>
      <w:r>
        <w:t xml:space="preserve">Liquid Funds, Large Cap Funds, and Flexi Cap Funds attracted significant investor inflows. </w:t>
      </w:r>
    </w:p>
    <w:p w:rsidR="00A12EE2" w:rsidRDefault="00A12EE2" w:rsidP="00A12EE2">
      <w:pPr>
        <w:numPr>
          <w:ilvl w:val="0"/>
          <w:numId w:val="25"/>
        </w:numPr>
        <w:spacing w:before="100" w:beforeAutospacing="1" w:after="100" w:afterAutospacing="1" w:line="240" w:lineRule="auto"/>
      </w:pPr>
      <w:r>
        <w:t xml:space="preserve">Investors in the 26–35 age </w:t>
      </w:r>
      <w:proofErr w:type="gramStart"/>
      <w:r>
        <w:t>group</w:t>
      </w:r>
      <w:proofErr w:type="gramEnd"/>
      <w:r>
        <w:t xml:space="preserve"> contributed the largest share of transactions. </w:t>
      </w:r>
    </w:p>
    <w:p w:rsidR="00A12EE2" w:rsidRDefault="00A12EE2" w:rsidP="00A12EE2">
      <w:pPr>
        <w:numPr>
          <w:ilvl w:val="0"/>
          <w:numId w:val="25"/>
        </w:numPr>
        <w:spacing w:before="100" w:beforeAutospacing="1" w:after="100" w:afterAutospacing="1" w:line="240" w:lineRule="auto"/>
      </w:pPr>
      <w:r>
        <w:t xml:space="preserve">SIP investments represented the dominant mode of investment activity. </w:t>
      </w:r>
    </w:p>
    <w:p w:rsidR="00A12EE2" w:rsidRDefault="00A12EE2" w:rsidP="00A12EE2">
      <w:pPr>
        <w:numPr>
          <w:ilvl w:val="0"/>
          <w:numId w:val="25"/>
        </w:numPr>
        <w:spacing w:before="100" w:beforeAutospacing="1" w:after="100" w:afterAutospacing="1" w:line="240" w:lineRule="auto"/>
      </w:pPr>
      <w:r>
        <w:t xml:space="preserve">Risk-adjusted performance varied considerably across mutual fund schemes. </w:t>
      </w:r>
    </w:p>
    <w:p w:rsidR="00A12EE2" w:rsidRDefault="00A12EE2" w:rsidP="00A12EE2">
      <w:pPr>
        <w:numPr>
          <w:ilvl w:val="0"/>
          <w:numId w:val="25"/>
        </w:numPr>
        <w:spacing w:before="100" w:beforeAutospacing="1" w:after="100" w:afterAutospacing="1" w:line="240" w:lineRule="auto"/>
      </w:pPr>
      <w:r>
        <w:t xml:space="preserve">Higher Sharpe Ratio funds generally provided better investment efficiency. </w:t>
      </w:r>
    </w:p>
    <w:p w:rsidR="00A12EE2" w:rsidRDefault="00A12EE2" w:rsidP="00A12EE2">
      <w:pPr>
        <w:numPr>
          <w:ilvl w:val="0"/>
          <w:numId w:val="25"/>
        </w:numPr>
        <w:spacing w:before="100" w:beforeAutospacing="1" w:after="100" w:afterAutospacing="1" w:line="240" w:lineRule="auto"/>
      </w:pPr>
      <w:r>
        <w:t xml:space="preserve">Investor participation was concentrated among a limited number of cohorts. </w:t>
      </w:r>
    </w:p>
    <w:p w:rsidR="00A12EE2" w:rsidRDefault="00A12EE2" w:rsidP="00A12EE2">
      <w:pPr>
        <w:numPr>
          <w:ilvl w:val="0"/>
          <w:numId w:val="25"/>
        </w:numPr>
        <w:spacing w:before="100" w:beforeAutospacing="1" w:after="100" w:afterAutospacing="1" w:line="240" w:lineRule="auto"/>
      </w:pPr>
      <w:r>
        <w:t xml:space="preserve">Certain sectors accounted for a large share of portfolio allocations, indicating concentration risk. </w:t>
      </w:r>
    </w:p>
    <w:p w:rsidR="00A12EE2" w:rsidRDefault="00A12EE2" w:rsidP="00A12EE2">
      <w:pPr>
        <w:numPr>
          <w:ilvl w:val="0"/>
          <w:numId w:val="25"/>
        </w:numPr>
        <w:spacing w:before="100" w:beforeAutospacing="1" w:after="100" w:afterAutospacing="1" w:line="240" w:lineRule="auto"/>
      </w:pPr>
      <w:r>
        <w:lastRenderedPageBreak/>
        <w:t xml:space="preserve">Dashboard visualizations significantly improved the interpretation of complex financial metrics. </w:t>
      </w:r>
    </w:p>
    <w:p w:rsidR="00F6757F" w:rsidRPr="00F6757F" w:rsidRDefault="00F6757F" w:rsidP="00F6757F">
      <w:pPr>
        <w:rPr>
          <w:rFonts w:ascii="Times New Roman" w:hAnsi="Times New Roman" w:cs="Times New Roman"/>
          <w:sz w:val="24"/>
          <w:szCs w:val="24"/>
        </w:rPr>
      </w:pPr>
    </w:p>
    <w:p w:rsidR="00F6757F" w:rsidRPr="00FA621E" w:rsidRDefault="00F6757F" w:rsidP="00F6757F">
      <w:pPr>
        <w:rPr>
          <w:rFonts w:ascii="Times New Roman" w:hAnsi="Times New Roman" w:cs="Times New Roman"/>
          <w:b/>
          <w:sz w:val="24"/>
          <w:szCs w:val="24"/>
        </w:rPr>
      </w:pPr>
      <w:r w:rsidRPr="00FA621E">
        <w:rPr>
          <w:rFonts w:ascii="Times New Roman" w:hAnsi="Times New Roman" w:cs="Times New Roman"/>
          <w:b/>
          <w:sz w:val="24"/>
          <w:szCs w:val="24"/>
        </w:rPr>
        <w:t>11. Limitations</w:t>
      </w:r>
    </w:p>
    <w:p w:rsidR="00A12EE2" w:rsidRDefault="00A12EE2" w:rsidP="00A12EE2">
      <w:pPr>
        <w:numPr>
          <w:ilvl w:val="0"/>
          <w:numId w:val="26"/>
        </w:numPr>
        <w:spacing w:before="100" w:beforeAutospacing="1" w:after="100" w:afterAutospacing="1" w:line="240" w:lineRule="auto"/>
      </w:pPr>
      <w:r>
        <w:t xml:space="preserve">Analysis </w:t>
      </w:r>
      <w:proofErr w:type="gramStart"/>
      <w:r>
        <w:t xml:space="preserve">was </w:t>
      </w:r>
      <w:r w:rsidR="007A22F4">
        <w:t xml:space="preserve"> </w:t>
      </w:r>
      <w:r>
        <w:t>performed</w:t>
      </w:r>
      <w:proofErr w:type="gramEnd"/>
      <w:r>
        <w:t xml:space="preserve"> using historical data and may not predict future performance. </w:t>
      </w:r>
    </w:p>
    <w:p w:rsidR="00A12EE2" w:rsidRDefault="00A12EE2" w:rsidP="00A12EE2">
      <w:pPr>
        <w:numPr>
          <w:ilvl w:val="0"/>
          <w:numId w:val="26"/>
        </w:numPr>
        <w:spacing w:before="100" w:beforeAutospacing="1" w:after="100" w:afterAutospacing="1" w:line="240" w:lineRule="auto"/>
      </w:pPr>
      <w:r>
        <w:t xml:space="preserve">Market conditions can change rapidly and affect investment outcomes. </w:t>
      </w:r>
    </w:p>
    <w:p w:rsidR="00A12EE2" w:rsidRDefault="00A12EE2" w:rsidP="00A12EE2">
      <w:pPr>
        <w:numPr>
          <w:ilvl w:val="0"/>
          <w:numId w:val="26"/>
        </w:numPr>
        <w:spacing w:before="100" w:beforeAutospacing="1" w:after="100" w:afterAutospacing="1" w:line="240" w:lineRule="auto"/>
      </w:pPr>
      <w:r>
        <w:t xml:space="preserve">Risk metrics are dependent on the quality and availability of historical data. </w:t>
      </w:r>
    </w:p>
    <w:p w:rsidR="00A12EE2" w:rsidRDefault="00A12EE2" w:rsidP="00A12EE2">
      <w:pPr>
        <w:numPr>
          <w:ilvl w:val="0"/>
          <w:numId w:val="26"/>
        </w:numPr>
        <w:spacing w:before="100" w:beforeAutospacing="1" w:after="100" w:afterAutospacing="1" w:line="240" w:lineRule="auto"/>
      </w:pPr>
      <w:r>
        <w:t xml:space="preserve">Some datasets were limited to the available project scope. </w:t>
      </w:r>
    </w:p>
    <w:p w:rsidR="00F6757F" w:rsidRDefault="00A12EE2" w:rsidP="00F6757F">
      <w:pPr>
        <w:numPr>
          <w:ilvl w:val="0"/>
          <w:numId w:val="26"/>
        </w:numPr>
        <w:spacing w:before="100" w:beforeAutospacing="1" w:after="100" w:afterAutospacing="1" w:line="240" w:lineRule="auto"/>
      </w:pPr>
      <w:r>
        <w:t>External economic and geopolitical factors were not incorporated into the analysis.</w:t>
      </w:r>
    </w:p>
    <w:p w:rsidR="00A12EE2" w:rsidRPr="00A12EE2" w:rsidRDefault="00A12EE2" w:rsidP="00A12EE2">
      <w:pPr>
        <w:spacing w:before="100" w:beforeAutospacing="1" w:after="100" w:afterAutospacing="1" w:line="240" w:lineRule="auto"/>
      </w:pPr>
    </w:p>
    <w:p w:rsidR="00F6757F" w:rsidRPr="00FA621E" w:rsidRDefault="00F6757F" w:rsidP="00F6757F">
      <w:pPr>
        <w:rPr>
          <w:rFonts w:ascii="Times New Roman" w:hAnsi="Times New Roman" w:cs="Times New Roman"/>
          <w:b/>
          <w:sz w:val="24"/>
          <w:szCs w:val="24"/>
        </w:rPr>
      </w:pPr>
      <w:r w:rsidRPr="00FA621E">
        <w:rPr>
          <w:rFonts w:ascii="Times New Roman" w:hAnsi="Times New Roman" w:cs="Times New Roman"/>
          <w:b/>
          <w:sz w:val="24"/>
          <w:szCs w:val="24"/>
        </w:rPr>
        <w:t>12. Recommendations</w:t>
      </w:r>
    </w:p>
    <w:p w:rsidR="00A12EE2" w:rsidRPr="00A12EE2" w:rsidRDefault="00A12EE2" w:rsidP="00A12EE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12EE2">
        <w:rPr>
          <w:rFonts w:ascii="Times New Roman" w:eastAsia="Times New Roman" w:hAnsi="Times New Roman" w:cs="Times New Roman"/>
          <w:sz w:val="24"/>
          <w:szCs w:val="24"/>
        </w:rPr>
        <w:t xml:space="preserve">Investors should evaluate both return and risk before selecting mutual funds. </w:t>
      </w:r>
    </w:p>
    <w:p w:rsidR="00A12EE2" w:rsidRPr="00A12EE2" w:rsidRDefault="00A12EE2" w:rsidP="00A12EE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12EE2">
        <w:rPr>
          <w:rFonts w:ascii="Times New Roman" w:eastAsia="Times New Roman" w:hAnsi="Times New Roman" w:cs="Times New Roman"/>
          <w:sz w:val="24"/>
          <w:szCs w:val="24"/>
        </w:rPr>
        <w:t xml:space="preserve">Regular monitoring of portfolio concentration is recommended. </w:t>
      </w:r>
    </w:p>
    <w:p w:rsidR="00A12EE2" w:rsidRPr="00A12EE2" w:rsidRDefault="00A12EE2" w:rsidP="00A12EE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12EE2">
        <w:rPr>
          <w:rFonts w:ascii="Times New Roman" w:eastAsia="Times New Roman" w:hAnsi="Times New Roman" w:cs="Times New Roman"/>
          <w:sz w:val="24"/>
          <w:szCs w:val="24"/>
        </w:rPr>
        <w:t xml:space="preserve">SIP investments should be encouraged for long-term wealth creation. </w:t>
      </w:r>
    </w:p>
    <w:p w:rsidR="00A12EE2" w:rsidRPr="00A12EE2" w:rsidRDefault="00A12EE2" w:rsidP="00A12EE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12EE2">
        <w:rPr>
          <w:rFonts w:ascii="Times New Roman" w:eastAsia="Times New Roman" w:hAnsi="Times New Roman" w:cs="Times New Roman"/>
          <w:sz w:val="24"/>
          <w:szCs w:val="24"/>
        </w:rPr>
        <w:t xml:space="preserve">Risk-adjusted performance metrics should be considered alongside raw returns. </w:t>
      </w:r>
    </w:p>
    <w:p w:rsidR="00A12EE2" w:rsidRPr="00A12EE2" w:rsidRDefault="00A12EE2" w:rsidP="00A12EE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12EE2">
        <w:rPr>
          <w:rFonts w:ascii="Times New Roman" w:eastAsia="Times New Roman" w:hAnsi="Times New Roman" w:cs="Times New Roman"/>
          <w:sz w:val="24"/>
          <w:szCs w:val="24"/>
        </w:rPr>
        <w:t xml:space="preserve">Fund managers should monitor drawdown risk and sector concentration levels. </w:t>
      </w:r>
    </w:p>
    <w:p w:rsidR="00A12EE2" w:rsidRPr="00A12EE2" w:rsidRDefault="00A12EE2" w:rsidP="00A12EE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12EE2">
        <w:rPr>
          <w:rFonts w:ascii="Times New Roman" w:eastAsia="Times New Roman" w:hAnsi="Times New Roman" w:cs="Times New Roman"/>
          <w:sz w:val="24"/>
          <w:szCs w:val="24"/>
        </w:rPr>
        <w:t xml:space="preserve">Future versions of the project may incorporate predictive analytics and machine learning models. </w:t>
      </w:r>
    </w:p>
    <w:p w:rsidR="00F6757F" w:rsidRDefault="00F6757F" w:rsidP="00F6757F">
      <w:pPr>
        <w:rPr>
          <w:rFonts w:ascii="Times New Roman" w:hAnsi="Times New Roman" w:cs="Times New Roman"/>
          <w:sz w:val="24"/>
          <w:szCs w:val="24"/>
        </w:rPr>
      </w:pPr>
    </w:p>
    <w:p w:rsidR="00A12EE2" w:rsidRPr="00F6757F" w:rsidRDefault="00A12EE2" w:rsidP="00F6757F">
      <w:pPr>
        <w:rPr>
          <w:rFonts w:ascii="Times New Roman" w:hAnsi="Times New Roman" w:cs="Times New Roman"/>
          <w:sz w:val="24"/>
          <w:szCs w:val="24"/>
        </w:rPr>
      </w:pPr>
    </w:p>
    <w:p w:rsidR="00F6757F" w:rsidRPr="00FA621E" w:rsidRDefault="00F6757F" w:rsidP="00F6757F">
      <w:pPr>
        <w:rPr>
          <w:rFonts w:ascii="Times New Roman" w:hAnsi="Times New Roman" w:cs="Times New Roman"/>
          <w:b/>
          <w:sz w:val="24"/>
          <w:szCs w:val="24"/>
        </w:rPr>
      </w:pPr>
      <w:r w:rsidRPr="00FA621E">
        <w:rPr>
          <w:rFonts w:ascii="Times New Roman" w:hAnsi="Times New Roman" w:cs="Times New Roman"/>
          <w:b/>
          <w:sz w:val="24"/>
          <w:szCs w:val="24"/>
        </w:rPr>
        <w:t>13. Conclusion</w:t>
      </w:r>
    </w:p>
    <w:p w:rsidR="00A12EE2" w:rsidRDefault="00A12EE2" w:rsidP="00A12EE2">
      <w:pPr>
        <w:pStyle w:val="NormalWeb"/>
      </w:pPr>
      <w:r>
        <w:t>The Mutual Fund Analytics Project successfully demonstrated the application of data engineering, financial analytics, and business intelligence techniques in the mutual fund domain.</w:t>
      </w:r>
    </w:p>
    <w:p w:rsidR="00A12EE2" w:rsidRDefault="00A12EE2" w:rsidP="00A12EE2">
      <w:pPr>
        <w:pStyle w:val="NormalWeb"/>
      </w:pPr>
      <w:r>
        <w:t>The project transformed raw financial datasets into meaningful insights through ETL processes, exploratory analysis, performance evaluation, advanced risk metrics, and interactive dashboard visualizations.</w:t>
      </w:r>
    </w:p>
    <w:p w:rsidR="00A12EE2" w:rsidRDefault="00A12EE2" w:rsidP="00A12EE2">
      <w:pPr>
        <w:pStyle w:val="NormalWeb"/>
      </w:pPr>
      <w:r>
        <w:t>The developed solution provides a comprehensive framework for understanding fund performance, investor behavior, market trends, and portfolio risk. The dashboard and analytical reports can assist investors, analysts, and fund managers in making informed decisions based on data-driven insights.</w:t>
      </w:r>
    </w:p>
    <w:p w:rsidR="00A12EE2" w:rsidRDefault="00A12EE2" w:rsidP="00A12EE2">
      <w:pPr>
        <w:pStyle w:val="NormalWeb"/>
      </w:pPr>
      <w:r>
        <w:t>The project highlights the value of combining analytics and visualization technologies to solve real-world financial analysis problems.</w:t>
      </w:r>
    </w:p>
    <w:p w:rsidR="00A12EE2" w:rsidRPr="00F6757F" w:rsidRDefault="00A12EE2" w:rsidP="00F6757F">
      <w:pPr>
        <w:rPr>
          <w:rFonts w:ascii="Times New Roman" w:hAnsi="Times New Roman" w:cs="Times New Roman"/>
          <w:sz w:val="24"/>
          <w:szCs w:val="24"/>
        </w:rPr>
      </w:pPr>
    </w:p>
    <w:p w:rsidR="00F6757F" w:rsidRPr="00F6757F" w:rsidRDefault="00F6757F" w:rsidP="00F6757F">
      <w:pPr>
        <w:rPr>
          <w:rFonts w:ascii="Times New Roman" w:hAnsi="Times New Roman" w:cs="Times New Roman"/>
          <w:sz w:val="24"/>
          <w:szCs w:val="24"/>
        </w:rPr>
      </w:pPr>
    </w:p>
    <w:p w:rsidR="006640AB" w:rsidRPr="00FA621E" w:rsidRDefault="00F6757F" w:rsidP="00F6757F">
      <w:pPr>
        <w:rPr>
          <w:rFonts w:ascii="Times New Roman" w:hAnsi="Times New Roman" w:cs="Times New Roman"/>
          <w:b/>
          <w:sz w:val="24"/>
          <w:szCs w:val="24"/>
        </w:rPr>
      </w:pPr>
      <w:r w:rsidRPr="00FA621E">
        <w:rPr>
          <w:rFonts w:ascii="Times New Roman" w:hAnsi="Times New Roman" w:cs="Times New Roman"/>
          <w:b/>
          <w:sz w:val="24"/>
          <w:szCs w:val="24"/>
        </w:rPr>
        <w:t>14. References</w:t>
      </w:r>
    </w:p>
    <w:p w:rsidR="00A12EE2" w:rsidRPr="00A12EE2" w:rsidRDefault="00A12EE2" w:rsidP="00A12EE2">
      <w:pPr>
        <w:spacing w:after="0" w:line="240" w:lineRule="auto"/>
        <w:rPr>
          <w:rFonts w:ascii="Times New Roman" w:eastAsia="Times New Roman" w:hAnsi="Times New Roman" w:cs="Times New Roman"/>
          <w:sz w:val="24"/>
          <w:szCs w:val="24"/>
        </w:rPr>
      </w:pPr>
      <w:proofErr w:type="gramStart"/>
      <w:r w:rsidRPr="00A12EE2">
        <w:rPr>
          <w:rFonts w:ascii="Times New Roman" w:eastAsia="Times New Roman" w:hAnsi="Symbol" w:cs="Times New Roman"/>
          <w:sz w:val="24"/>
          <w:szCs w:val="24"/>
        </w:rPr>
        <w:t></w:t>
      </w:r>
      <w:r w:rsidRPr="00A12EE2">
        <w:rPr>
          <w:rFonts w:ascii="Times New Roman" w:eastAsia="Times New Roman" w:hAnsi="Times New Roman" w:cs="Times New Roman"/>
          <w:sz w:val="24"/>
          <w:szCs w:val="24"/>
        </w:rPr>
        <w:t xml:space="preserve">  Association</w:t>
      </w:r>
      <w:proofErr w:type="gramEnd"/>
      <w:r w:rsidRPr="00A12EE2">
        <w:rPr>
          <w:rFonts w:ascii="Times New Roman" w:eastAsia="Times New Roman" w:hAnsi="Times New Roman" w:cs="Times New Roman"/>
          <w:sz w:val="24"/>
          <w:szCs w:val="24"/>
        </w:rPr>
        <w:t xml:space="preserve"> of Mutual Funds in India (AMFI) – </w:t>
      </w:r>
      <w:hyperlink r:id="rId17" w:tgtFrame="_new" w:history="1">
        <w:r w:rsidRPr="00A12EE2">
          <w:rPr>
            <w:rFonts w:ascii="Times New Roman" w:eastAsia="Times New Roman" w:hAnsi="Times New Roman" w:cs="Times New Roman"/>
            <w:color w:val="0000FF"/>
            <w:sz w:val="24"/>
            <w:szCs w:val="24"/>
            <w:u w:val="single"/>
          </w:rPr>
          <w:t>https://www.amfiindia.com</w:t>
        </w:r>
      </w:hyperlink>
      <w:r w:rsidRPr="00A12EE2">
        <w:rPr>
          <w:rFonts w:ascii="Times New Roman" w:eastAsia="Times New Roman" w:hAnsi="Times New Roman" w:cs="Times New Roman"/>
          <w:sz w:val="24"/>
          <w:szCs w:val="24"/>
        </w:rPr>
        <w:t xml:space="preserve"> </w:t>
      </w:r>
    </w:p>
    <w:p w:rsidR="00A12EE2" w:rsidRPr="00A12EE2" w:rsidRDefault="00A12EE2" w:rsidP="00A12EE2">
      <w:pPr>
        <w:spacing w:after="0" w:line="240" w:lineRule="auto"/>
        <w:rPr>
          <w:rFonts w:ascii="Times New Roman" w:eastAsia="Times New Roman" w:hAnsi="Times New Roman" w:cs="Times New Roman"/>
          <w:sz w:val="24"/>
          <w:szCs w:val="24"/>
        </w:rPr>
      </w:pPr>
      <w:proofErr w:type="gramStart"/>
      <w:r w:rsidRPr="00A12EE2">
        <w:rPr>
          <w:rFonts w:ascii="Times New Roman" w:eastAsia="Times New Roman" w:hAnsi="Symbol" w:cs="Times New Roman"/>
          <w:sz w:val="24"/>
          <w:szCs w:val="24"/>
        </w:rPr>
        <w:t></w:t>
      </w:r>
      <w:r w:rsidRPr="00A12EE2">
        <w:rPr>
          <w:rFonts w:ascii="Times New Roman" w:eastAsia="Times New Roman" w:hAnsi="Times New Roman" w:cs="Times New Roman"/>
          <w:sz w:val="24"/>
          <w:szCs w:val="24"/>
        </w:rPr>
        <w:t xml:space="preserve">  Microsoft</w:t>
      </w:r>
      <w:proofErr w:type="gramEnd"/>
      <w:r w:rsidRPr="00A12EE2">
        <w:rPr>
          <w:rFonts w:ascii="Times New Roman" w:eastAsia="Times New Roman" w:hAnsi="Times New Roman" w:cs="Times New Roman"/>
          <w:sz w:val="24"/>
          <w:szCs w:val="24"/>
        </w:rPr>
        <w:t xml:space="preserve"> Power BI Documentation – https://learn.microsoft.com/power-bi </w:t>
      </w:r>
    </w:p>
    <w:p w:rsidR="00A12EE2" w:rsidRPr="00A12EE2" w:rsidRDefault="00A12EE2" w:rsidP="00A12EE2">
      <w:pPr>
        <w:spacing w:after="0" w:line="240" w:lineRule="auto"/>
        <w:rPr>
          <w:rFonts w:ascii="Times New Roman" w:eastAsia="Times New Roman" w:hAnsi="Times New Roman" w:cs="Times New Roman"/>
          <w:sz w:val="24"/>
          <w:szCs w:val="24"/>
        </w:rPr>
      </w:pPr>
      <w:proofErr w:type="gramStart"/>
      <w:r w:rsidRPr="00A12EE2">
        <w:rPr>
          <w:rFonts w:ascii="Times New Roman" w:eastAsia="Times New Roman" w:hAnsi="Symbol" w:cs="Times New Roman"/>
          <w:sz w:val="24"/>
          <w:szCs w:val="24"/>
        </w:rPr>
        <w:t></w:t>
      </w:r>
      <w:r w:rsidRPr="00A12EE2">
        <w:rPr>
          <w:rFonts w:ascii="Times New Roman" w:eastAsia="Times New Roman" w:hAnsi="Times New Roman" w:cs="Times New Roman"/>
          <w:sz w:val="24"/>
          <w:szCs w:val="24"/>
        </w:rPr>
        <w:t xml:space="preserve">  Pandas</w:t>
      </w:r>
      <w:proofErr w:type="gramEnd"/>
      <w:r w:rsidRPr="00A12EE2">
        <w:rPr>
          <w:rFonts w:ascii="Times New Roman" w:eastAsia="Times New Roman" w:hAnsi="Times New Roman" w:cs="Times New Roman"/>
          <w:sz w:val="24"/>
          <w:szCs w:val="24"/>
        </w:rPr>
        <w:t xml:space="preserve"> Documentation – </w:t>
      </w:r>
      <w:hyperlink r:id="rId18" w:tgtFrame="_new" w:history="1">
        <w:r w:rsidRPr="00A12EE2">
          <w:rPr>
            <w:rFonts w:ascii="Times New Roman" w:eastAsia="Times New Roman" w:hAnsi="Times New Roman" w:cs="Times New Roman"/>
            <w:color w:val="0000FF"/>
            <w:sz w:val="24"/>
            <w:szCs w:val="24"/>
            <w:u w:val="single"/>
          </w:rPr>
          <w:t>https://pandas.pydata.org</w:t>
        </w:r>
      </w:hyperlink>
      <w:r w:rsidRPr="00A12EE2">
        <w:rPr>
          <w:rFonts w:ascii="Times New Roman" w:eastAsia="Times New Roman" w:hAnsi="Times New Roman" w:cs="Times New Roman"/>
          <w:sz w:val="24"/>
          <w:szCs w:val="24"/>
        </w:rPr>
        <w:t xml:space="preserve"> </w:t>
      </w:r>
    </w:p>
    <w:p w:rsidR="00A12EE2" w:rsidRPr="00A12EE2" w:rsidRDefault="00A12EE2" w:rsidP="00A12EE2">
      <w:pPr>
        <w:spacing w:after="0" w:line="240" w:lineRule="auto"/>
        <w:rPr>
          <w:rFonts w:ascii="Times New Roman" w:eastAsia="Times New Roman" w:hAnsi="Times New Roman" w:cs="Times New Roman"/>
          <w:sz w:val="24"/>
          <w:szCs w:val="24"/>
        </w:rPr>
      </w:pPr>
      <w:proofErr w:type="gramStart"/>
      <w:r w:rsidRPr="00A12EE2">
        <w:rPr>
          <w:rFonts w:ascii="Times New Roman" w:eastAsia="Times New Roman" w:hAnsi="Symbol" w:cs="Times New Roman"/>
          <w:sz w:val="24"/>
          <w:szCs w:val="24"/>
        </w:rPr>
        <w:t></w:t>
      </w:r>
      <w:r w:rsidRPr="00A12EE2">
        <w:rPr>
          <w:rFonts w:ascii="Times New Roman" w:eastAsia="Times New Roman" w:hAnsi="Times New Roman" w:cs="Times New Roman"/>
          <w:sz w:val="24"/>
          <w:szCs w:val="24"/>
        </w:rPr>
        <w:t xml:space="preserve">  </w:t>
      </w:r>
      <w:proofErr w:type="spellStart"/>
      <w:r w:rsidRPr="00A12EE2">
        <w:rPr>
          <w:rFonts w:ascii="Times New Roman" w:eastAsia="Times New Roman" w:hAnsi="Times New Roman" w:cs="Times New Roman"/>
          <w:sz w:val="24"/>
          <w:szCs w:val="24"/>
        </w:rPr>
        <w:t>NumPy</w:t>
      </w:r>
      <w:proofErr w:type="spellEnd"/>
      <w:proofErr w:type="gramEnd"/>
      <w:r w:rsidRPr="00A12EE2">
        <w:rPr>
          <w:rFonts w:ascii="Times New Roman" w:eastAsia="Times New Roman" w:hAnsi="Times New Roman" w:cs="Times New Roman"/>
          <w:sz w:val="24"/>
          <w:szCs w:val="24"/>
        </w:rPr>
        <w:t xml:space="preserve"> Documentation – </w:t>
      </w:r>
      <w:hyperlink r:id="rId19" w:tgtFrame="_new" w:history="1">
        <w:r w:rsidRPr="00A12EE2">
          <w:rPr>
            <w:rFonts w:ascii="Times New Roman" w:eastAsia="Times New Roman" w:hAnsi="Times New Roman" w:cs="Times New Roman"/>
            <w:color w:val="0000FF"/>
            <w:sz w:val="24"/>
            <w:szCs w:val="24"/>
            <w:u w:val="single"/>
          </w:rPr>
          <w:t>https://numpy.org</w:t>
        </w:r>
      </w:hyperlink>
      <w:r w:rsidRPr="00A12EE2">
        <w:rPr>
          <w:rFonts w:ascii="Times New Roman" w:eastAsia="Times New Roman" w:hAnsi="Times New Roman" w:cs="Times New Roman"/>
          <w:sz w:val="24"/>
          <w:szCs w:val="24"/>
        </w:rPr>
        <w:t xml:space="preserve"> </w:t>
      </w:r>
    </w:p>
    <w:p w:rsidR="00A12EE2" w:rsidRPr="00A12EE2" w:rsidRDefault="00A12EE2" w:rsidP="00A12EE2">
      <w:pPr>
        <w:spacing w:after="0" w:line="240" w:lineRule="auto"/>
        <w:rPr>
          <w:rFonts w:ascii="Times New Roman" w:eastAsia="Times New Roman" w:hAnsi="Times New Roman" w:cs="Times New Roman"/>
          <w:sz w:val="24"/>
          <w:szCs w:val="24"/>
        </w:rPr>
      </w:pPr>
      <w:proofErr w:type="gramStart"/>
      <w:r w:rsidRPr="00A12EE2">
        <w:rPr>
          <w:rFonts w:ascii="Times New Roman" w:eastAsia="Times New Roman" w:hAnsi="Symbol" w:cs="Times New Roman"/>
          <w:sz w:val="24"/>
          <w:szCs w:val="24"/>
        </w:rPr>
        <w:t></w:t>
      </w:r>
      <w:r w:rsidRPr="00A12EE2">
        <w:rPr>
          <w:rFonts w:ascii="Times New Roman" w:eastAsia="Times New Roman" w:hAnsi="Times New Roman" w:cs="Times New Roman"/>
          <w:sz w:val="24"/>
          <w:szCs w:val="24"/>
        </w:rPr>
        <w:t xml:space="preserve">  </w:t>
      </w:r>
      <w:proofErr w:type="spellStart"/>
      <w:r w:rsidRPr="00A12EE2">
        <w:rPr>
          <w:rFonts w:ascii="Times New Roman" w:eastAsia="Times New Roman" w:hAnsi="Times New Roman" w:cs="Times New Roman"/>
          <w:sz w:val="24"/>
          <w:szCs w:val="24"/>
        </w:rPr>
        <w:t>Matplotlib</w:t>
      </w:r>
      <w:proofErr w:type="spellEnd"/>
      <w:proofErr w:type="gramEnd"/>
      <w:r w:rsidRPr="00A12EE2">
        <w:rPr>
          <w:rFonts w:ascii="Times New Roman" w:eastAsia="Times New Roman" w:hAnsi="Times New Roman" w:cs="Times New Roman"/>
          <w:sz w:val="24"/>
          <w:szCs w:val="24"/>
        </w:rPr>
        <w:t xml:space="preserve"> Documentation – </w:t>
      </w:r>
      <w:hyperlink r:id="rId20" w:tgtFrame="_new" w:history="1">
        <w:r w:rsidRPr="00A12EE2">
          <w:rPr>
            <w:rFonts w:ascii="Times New Roman" w:eastAsia="Times New Roman" w:hAnsi="Times New Roman" w:cs="Times New Roman"/>
            <w:color w:val="0000FF"/>
            <w:sz w:val="24"/>
            <w:szCs w:val="24"/>
            <w:u w:val="single"/>
          </w:rPr>
          <w:t>https://matplotlib.org</w:t>
        </w:r>
      </w:hyperlink>
      <w:r w:rsidRPr="00A12EE2">
        <w:rPr>
          <w:rFonts w:ascii="Times New Roman" w:eastAsia="Times New Roman" w:hAnsi="Times New Roman" w:cs="Times New Roman"/>
          <w:sz w:val="24"/>
          <w:szCs w:val="24"/>
        </w:rPr>
        <w:t xml:space="preserve"> </w:t>
      </w:r>
    </w:p>
    <w:p w:rsidR="00A12EE2" w:rsidRPr="00A12EE2" w:rsidRDefault="00A12EE2" w:rsidP="00A12EE2">
      <w:pPr>
        <w:spacing w:after="0" w:line="240" w:lineRule="auto"/>
        <w:rPr>
          <w:rFonts w:ascii="Times New Roman" w:eastAsia="Times New Roman" w:hAnsi="Times New Roman" w:cs="Times New Roman"/>
          <w:sz w:val="24"/>
          <w:szCs w:val="24"/>
        </w:rPr>
      </w:pPr>
      <w:proofErr w:type="gramStart"/>
      <w:r w:rsidRPr="00A12EE2">
        <w:rPr>
          <w:rFonts w:ascii="Times New Roman" w:eastAsia="Times New Roman" w:hAnsi="Symbol" w:cs="Times New Roman"/>
          <w:sz w:val="24"/>
          <w:szCs w:val="24"/>
        </w:rPr>
        <w:t></w:t>
      </w:r>
      <w:r w:rsidRPr="00A12EE2">
        <w:rPr>
          <w:rFonts w:ascii="Times New Roman" w:eastAsia="Times New Roman" w:hAnsi="Times New Roman" w:cs="Times New Roman"/>
          <w:sz w:val="24"/>
          <w:szCs w:val="24"/>
        </w:rPr>
        <w:t xml:space="preserve">  </w:t>
      </w:r>
      <w:proofErr w:type="spellStart"/>
      <w:r w:rsidRPr="00A12EE2">
        <w:rPr>
          <w:rFonts w:ascii="Times New Roman" w:eastAsia="Times New Roman" w:hAnsi="Times New Roman" w:cs="Times New Roman"/>
          <w:sz w:val="24"/>
          <w:szCs w:val="24"/>
        </w:rPr>
        <w:t>Seaborn</w:t>
      </w:r>
      <w:proofErr w:type="spellEnd"/>
      <w:proofErr w:type="gramEnd"/>
      <w:r w:rsidRPr="00A12EE2">
        <w:rPr>
          <w:rFonts w:ascii="Times New Roman" w:eastAsia="Times New Roman" w:hAnsi="Times New Roman" w:cs="Times New Roman"/>
          <w:sz w:val="24"/>
          <w:szCs w:val="24"/>
        </w:rPr>
        <w:t xml:space="preserve"> Documentation – </w:t>
      </w:r>
      <w:hyperlink r:id="rId21" w:tgtFrame="_new" w:history="1">
        <w:r w:rsidRPr="00A12EE2">
          <w:rPr>
            <w:rFonts w:ascii="Times New Roman" w:eastAsia="Times New Roman" w:hAnsi="Times New Roman" w:cs="Times New Roman"/>
            <w:color w:val="0000FF"/>
            <w:sz w:val="24"/>
            <w:szCs w:val="24"/>
            <w:u w:val="single"/>
          </w:rPr>
          <w:t>https://seaborn.pydata.org</w:t>
        </w:r>
      </w:hyperlink>
      <w:r w:rsidRPr="00A12EE2">
        <w:rPr>
          <w:rFonts w:ascii="Times New Roman" w:eastAsia="Times New Roman" w:hAnsi="Times New Roman" w:cs="Times New Roman"/>
          <w:sz w:val="24"/>
          <w:szCs w:val="24"/>
        </w:rPr>
        <w:t xml:space="preserve"> </w:t>
      </w:r>
    </w:p>
    <w:p w:rsidR="00A12EE2" w:rsidRPr="00A12EE2" w:rsidRDefault="00A12EE2" w:rsidP="00A12EE2">
      <w:pPr>
        <w:spacing w:after="0" w:line="240" w:lineRule="auto"/>
        <w:rPr>
          <w:rFonts w:ascii="Times New Roman" w:eastAsia="Times New Roman" w:hAnsi="Times New Roman" w:cs="Times New Roman"/>
          <w:sz w:val="24"/>
          <w:szCs w:val="24"/>
        </w:rPr>
      </w:pPr>
      <w:proofErr w:type="gramStart"/>
      <w:r w:rsidRPr="00A12EE2">
        <w:rPr>
          <w:rFonts w:ascii="Times New Roman" w:eastAsia="Times New Roman" w:hAnsi="Symbol" w:cs="Times New Roman"/>
          <w:sz w:val="24"/>
          <w:szCs w:val="24"/>
        </w:rPr>
        <w:t></w:t>
      </w:r>
      <w:r w:rsidRPr="00A12EE2">
        <w:rPr>
          <w:rFonts w:ascii="Times New Roman" w:eastAsia="Times New Roman" w:hAnsi="Times New Roman" w:cs="Times New Roman"/>
          <w:sz w:val="24"/>
          <w:szCs w:val="24"/>
        </w:rPr>
        <w:t xml:space="preserve">  Financial</w:t>
      </w:r>
      <w:proofErr w:type="gramEnd"/>
      <w:r w:rsidRPr="00A12EE2">
        <w:rPr>
          <w:rFonts w:ascii="Times New Roman" w:eastAsia="Times New Roman" w:hAnsi="Times New Roman" w:cs="Times New Roman"/>
          <w:sz w:val="24"/>
          <w:szCs w:val="24"/>
        </w:rPr>
        <w:t xml:space="preserve"> Risk Management Concepts and Industry References </w:t>
      </w:r>
    </w:p>
    <w:p w:rsidR="00A12EE2" w:rsidRPr="00F6757F" w:rsidRDefault="00A12EE2" w:rsidP="00A12EE2">
      <w:pPr>
        <w:rPr>
          <w:rFonts w:ascii="Times New Roman" w:hAnsi="Times New Roman" w:cs="Times New Roman"/>
          <w:sz w:val="24"/>
          <w:szCs w:val="24"/>
        </w:rPr>
      </w:pPr>
      <w:proofErr w:type="gramStart"/>
      <w:r w:rsidRPr="00A12EE2">
        <w:rPr>
          <w:rFonts w:ascii="Times New Roman" w:eastAsia="Times New Roman" w:hAnsi="Symbol" w:cs="Times New Roman"/>
          <w:sz w:val="24"/>
          <w:szCs w:val="24"/>
        </w:rPr>
        <w:t></w:t>
      </w:r>
      <w:r w:rsidRPr="00A12EE2">
        <w:rPr>
          <w:rFonts w:ascii="Times New Roman" w:eastAsia="Times New Roman" w:hAnsi="Times New Roman" w:cs="Times New Roman"/>
          <w:sz w:val="24"/>
          <w:szCs w:val="24"/>
        </w:rPr>
        <w:t xml:space="preserve">  Project</w:t>
      </w:r>
      <w:proofErr w:type="gramEnd"/>
      <w:r w:rsidRPr="00A12EE2">
        <w:rPr>
          <w:rFonts w:ascii="Times New Roman" w:eastAsia="Times New Roman" w:hAnsi="Times New Roman" w:cs="Times New Roman"/>
          <w:sz w:val="24"/>
          <w:szCs w:val="24"/>
        </w:rPr>
        <w:t xml:space="preserve"> datasets provided as part of the Mutual Fund Analytics Capstone Project</w:t>
      </w:r>
    </w:p>
    <w:sectPr w:rsidR="00A12EE2" w:rsidRPr="00F6757F" w:rsidSect="006640A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A70DA1"/>
    <w:multiLevelType w:val="multilevel"/>
    <w:tmpl w:val="0288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B9213A"/>
    <w:multiLevelType w:val="multilevel"/>
    <w:tmpl w:val="C7B4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5F056B"/>
    <w:multiLevelType w:val="multilevel"/>
    <w:tmpl w:val="FFA0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772179"/>
    <w:multiLevelType w:val="multilevel"/>
    <w:tmpl w:val="C0809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2F15136"/>
    <w:multiLevelType w:val="multilevel"/>
    <w:tmpl w:val="B600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A03E3C"/>
    <w:multiLevelType w:val="multilevel"/>
    <w:tmpl w:val="A58E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90B4BEC"/>
    <w:multiLevelType w:val="multilevel"/>
    <w:tmpl w:val="A162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B1C06D4"/>
    <w:multiLevelType w:val="multilevel"/>
    <w:tmpl w:val="4D24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0C943C4"/>
    <w:multiLevelType w:val="multilevel"/>
    <w:tmpl w:val="DEDA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3ED3708"/>
    <w:multiLevelType w:val="multilevel"/>
    <w:tmpl w:val="C6CA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5861E9B"/>
    <w:multiLevelType w:val="multilevel"/>
    <w:tmpl w:val="C9C8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5E31472"/>
    <w:multiLevelType w:val="multilevel"/>
    <w:tmpl w:val="0884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B6D157E"/>
    <w:multiLevelType w:val="multilevel"/>
    <w:tmpl w:val="7DAC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3E1486C"/>
    <w:multiLevelType w:val="multilevel"/>
    <w:tmpl w:val="4360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8076885"/>
    <w:multiLevelType w:val="multilevel"/>
    <w:tmpl w:val="2DF0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0C42E7B"/>
    <w:multiLevelType w:val="multilevel"/>
    <w:tmpl w:val="B15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4602350"/>
    <w:multiLevelType w:val="multilevel"/>
    <w:tmpl w:val="F21A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CE20DE2"/>
    <w:multiLevelType w:val="multilevel"/>
    <w:tmpl w:val="B8B0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D1236CE"/>
    <w:multiLevelType w:val="multilevel"/>
    <w:tmpl w:val="8B34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3F73C65"/>
    <w:multiLevelType w:val="multilevel"/>
    <w:tmpl w:val="3924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4880D4A"/>
    <w:multiLevelType w:val="multilevel"/>
    <w:tmpl w:val="F61E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C496A8D"/>
    <w:multiLevelType w:val="multilevel"/>
    <w:tmpl w:val="0922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E3D5A0D"/>
    <w:multiLevelType w:val="multilevel"/>
    <w:tmpl w:val="F48E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53245B9"/>
    <w:multiLevelType w:val="multilevel"/>
    <w:tmpl w:val="FAB8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7D1597F"/>
    <w:multiLevelType w:val="multilevel"/>
    <w:tmpl w:val="4BE8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F1E7D46"/>
    <w:multiLevelType w:val="multilevel"/>
    <w:tmpl w:val="8F54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FDB4FEE"/>
    <w:multiLevelType w:val="multilevel"/>
    <w:tmpl w:val="FA36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25"/>
  </w:num>
  <w:num w:numId="3">
    <w:abstractNumId w:val="2"/>
  </w:num>
  <w:num w:numId="4">
    <w:abstractNumId w:val="14"/>
  </w:num>
  <w:num w:numId="5">
    <w:abstractNumId w:val="20"/>
  </w:num>
  <w:num w:numId="6">
    <w:abstractNumId w:val="19"/>
  </w:num>
  <w:num w:numId="7">
    <w:abstractNumId w:val="7"/>
  </w:num>
  <w:num w:numId="8">
    <w:abstractNumId w:val="8"/>
  </w:num>
  <w:num w:numId="9">
    <w:abstractNumId w:val="0"/>
  </w:num>
  <w:num w:numId="10">
    <w:abstractNumId w:val="11"/>
  </w:num>
  <w:num w:numId="11">
    <w:abstractNumId w:val="5"/>
  </w:num>
  <w:num w:numId="12">
    <w:abstractNumId w:val="24"/>
  </w:num>
  <w:num w:numId="13">
    <w:abstractNumId w:val="6"/>
  </w:num>
  <w:num w:numId="14">
    <w:abstractNumId w:val="21"/>
  </w:num>
  <w:num w:numId="15">
    <w:abstractNumId w:val="18"/>
  </w:num>
  <w:num w:numId="16">
    <w:abstractNumId w:val="16"/>
  </w:num>
  <w:num w:numId="17">
    <w:abstractNumId w:val="22"/>
  </w:num>
  <w:num w:numId="18">
    <w:abstractNumId w:val="4"/>
  </w:num>
  <w:num w:numId="19">
    <w:abstractNumId w:val="10"/>
  </w:num>
  <w:num w:numId="20">
    <w:abstractNumId w:val="23"/>
  </w:num>
  <w:num w:numId="21">
    <w:abstractNumId w:val="17"/>
  </w:num>
  <w:num w:numId="22">
    <w:abstractNumId w:val="15"/>
  </w:num>
  <w:num w:numId="23">
    <w:abstractNumId w:val="13"/>
  </w:num>
  <w:num w:numId="24">
    <w:abstractNumId w:val="9"/>
  </w:num>
  <w:num w:numId="25">
    <w:abstractNumId w:val="3"/>
  </w:num>
  <w:num w:numId="26">
    <w:abstractNumId w:val="1"/>
  </w:num>
  <w:num w:numId="27">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proofState w:spelling="clean" w:grammar="clean"/>
  <w:defaultTabStop w:val="720"/>
  <w:characterSpacingControl w:val="doNotCompress"/>
  <w:compat/>
  <w:rsids>
    <w:rsidRoot w:val="00F6757F"/>
    <w:rsid w:val="005D0152"/>
    <w:rsid w:val="006640AB"/>
    <w:rsid w:val="007A22F4"/>
    <w:rsid w:val="00904E5C"/>
    <w:rsid w:val="00A12EE2"/>
    <w:rsid w:val="00A43C1D"/>
    <w:rsid w:val="00AA016C"/>
    <w:rsid w:val="00BF30E8"/>
    <w:rsid w:val="00F6757F"/>
    <w:rsid w:val="00FA621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40AB"/>
  </w:style>
  <w:style w:type="paragraph" w:styleId="Heading3">
    <w:name w:val="heading 3"/>
    <w:basedOn w:val="Normal"/>
    <w:next w:val="Normal"/>
    <w:link w:val="Heading3Char"/>
    <w:uiPriority w:val="9"/>
    <w:semiHidden/>
    <w:unhideWhenUsed/>
    <w:qFormat/>
    <w:rsid w:val="00AA016C"/>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AA016C"/>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semiHidden/>
    <w:unhideWhenUsed/>
    <w:qFormat/>
    <w:rsid w:val="00A12EE2"/>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F30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AA016C"/>
    <w:rPr>
      <w:rFonts w:ascii="Times New Roman" w:eastAsia="Times New Roman" w:hAnsi="Times New Roman" w:cs="Times New Roman"/>
      <w:b/>
      <w:bCs/>
      <w:sz w:val="24"/>
      <w:szCs w:val="24"/>
    </w:rPr>
  </w:style>
  <w:style w:type="paragraph" w:styleId="HTMLPreformatted">
    <w:name w:val="HTML Preformatted"/>
    <w:basedOn w:val="Normal"/>
    <w:link w:val="HTMLPreformattedChar"/>
    <w:uiPriority w:val="99"/>
    <w:semiHidden/>
    <w:unhideWhenUsed/>
    <w:rsid w:val="00AA01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A016C"/>
    <w:rPr>
      <w:rFonts w:ascii="Courier New" w:eastAsia="Times New Roman" w:hAnsi="Courier New" w:cs="Courier New"/>
      <w:sz w:val="20"/>
      <w:szCs w:val="20"/>
    </w:rPr>
  </w:style>
  <w:style w:type="character" w:styleId="HTMLCode">
    <w:name w:val="HTML Code"/>
    <w:basedOn w:val="DefaultParagraphFont"/>
    <w:uiPriority w:val="99"/>
    <w:semiHidden/>
    <w:unhideWhenUsed/>
    <w:rsid w:val="00AA016C"/>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AA016C"/>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AA016C"/>
    <w:rPr>
      <w:b/>
      <w:bCs/>
    </w:rPr>
  </w:style>
  <w:style w:type="character" w:customStyle="1" w:styleId="Heading5Char">
    <w:name w:val="Heading 5 Char"/>
    <w:basedOn w:val="DefaultParagraphFont"/>
    <w:link w:val="Heading5"/>
    <w:uiPriority w:val="9"/>
    <w:semiHidden/>
    <w:rsid w:val="00A12EE2"/>
    <w:rPr>
      <w:rFonts w:asciiTheme="majorHAnsi" w:eastAsiaTheme="majorEastAsia" w:hAnsiTheme="majorHAnsi" w:cstheme="majorBidi"/>
      <w:color w:val="243F60" w:themeColor="accent1" w:themeShade="7F"/>
    </w:rPr>
  </w:style>
  <w:style w:type="character" w:styleId="Hyperlink">
    <w:name w:val="Hyperlink"/>
    <w:basedOn w:val="DefaultParagraphFont"/>
    <w:uiPriority w:val="99"/>
    <w:semiHidden/>
    <w:unhideWhenUsed/>
    <w:rsid w:val="00A12EE2"/>
    <w:rPr>
      <w:color w:val="0000FF"/>
      <w:u w:val="single"/>
    </w:rPr>
  </w:style>
  <w:style w:type="paragraph" w:styleId="BalloonText">
    <w:name w:val="Balloon Text"/>
    <w:basedOn w:val="Normal"/>
    <w:link w:val="BalloonTextChar"/>
    <w:uiPriority w:val="99"/>
    <w:semiHidden/>
    <w:unhideWhenUsed/>
    <w:rsid w:val="005D01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015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3569127">
      <w:bodyDiv w:val="1"/>
      <w:marLeft w:val="0"/>
      <w:marRight w:val="0"/>
      <w:marTop w:val="0"/>
      <w:marBottom w:val="0"/>
      <w:divBdr>
        <w:top w:val="none" w:sz="0" w:space="0" w:color="auto"/>
        <w:left w:val="none" w:sz="0" w:space="0" w:color="auto"/>
        <w:bottom w:val="none" w:sz="0" w:space="0" w:color="auto"/>
        <w:right w:val="none" w:sz="0" w:space="0" w:color="auto"/>
      </w:divBdr>
    </w:div>
    <w:div w:id="137497213">
      <w:bodyDiv w:val="1"/>
      <w:marLeft w:val="0"/>
      <w:marRight w:val="0"/>
      <w:marTop w:val="0"/>
      <w:marBottom w:val="0"/>
      <w:divBdr>
        <w:top w:val="none" w:sz="0" w:space="0" w:color="auto"/>
        <w:left w:val="none" w:sz="0" w:space="0" w:color="auto"/>
        <w:bottom w:val="none" w:sz="0" w:space="0" w:color="auto"/>
        <w:right w:val="none" w:sz="0" w:space="0" w:color="auto"/>
      </w:divBdr>
      <w:divsChild>
        <w:div w:id="94250250">
          <w:marLeft w:val="0"/>
          <w:marRight w:val="0"/>
          <w:marTop w:val="0"/>
          <w:marBottom w:val="0"/>
          <w:divBdr>
            <w:top w:val="none" w:sz="0" w:space="0" w:color="auto"/>
            <w:left w:val="none" w:sz="0" w:space="0" w:color="auto"/>
            <w:bottom w:val="none" w:sz="0" w:space="0" w:color="auto"/>
            <w:right w:val="none" w:sz="0" w:space="0" w:color="auto"/>
          </w:divBdr>
          <w:divsChild>
            <w:div w:id="82579747">
              <w:marLeft w:val="0"/>
              <w:marRight w:val="0"/>
              <w:marTop w:val="0"/>
              <w:marBottom w:val="0"/>
              <w:divBdr>
                <w:top w:val="none" w:sz="0" w:space="0" w:color="auto"/>
                <w:left w:val="none" w:sz="0" w:space="0" w:color="auto"/>
                <w:bottom w:val="none" w:sz="0" w:space="0" w:color="auto"/>
                <w:right w:val="none" w:sz="0" w:space="0" w:color="auto"/>
              </w:divBdr>
              <w:divsChild>
                <w:div w:id="1473717130">
                  <w:marLeft w:val="0"/>
                  <w:marRight w:val="0"/>
                  <w:marTop w:val="0"/>
                  <w:marBottom w:val="0"/>
                  <w:divBdr>
                    <w:top w:val="none" w:sz="0" w:space="0" w:color="auto"/>
                    <w:left w:val="none" w:sz="0" w:space="0" w:color="auto"/>
                    <w:bottom w:val="none" w:sz="0" w:space="0" w:color="auto"/>
                    <w:right w:val="none" w:sz="0" w:space="0" w:color="auto"/>
                  </w:divBdr>
                  <w:divsChild>
                    <w:div w:id="922255194">
                      <w:marLeft w:val="0"/>
                      <w:marRight w:val="0"/>
                      <w:marTop w:val="0"/>
                      <w:marBottom w:val="0"/>
                      <w:divBdr>
                        <w:top w:val="none" w:sz="0" w:space="0" w:color="auto"/>
                        <w:left w:val="none" w:sz="0" w:space="0" w:color="auto"/>
                        <w:bottom w:val="none" w:sz="0" w:space="0" w:color="auto"/>
                        <w:right w:val="none" w:sz="0" w:space="0" w:color="auto"/>
                      </w:divBdr>
                      <w:divsChild>
                        <w:div w:id="1131900457">
                          <w:marLeft w:val="0"/>
                          <w:marRight w:val="0"/>
                          <w:marTop w:val="0"/>
                          <w:marBottom w:val="0"/>
                          <w:divBdr>
                            <w:top w:val="none" w:sz="0" w:space="0" w:color="auto"/>
                            <w:left w:val="none" w:sz="0" w:space="0" w:color="auto"/>
                            <w:bottom w:val="none" w:sz="0" w:space="0" w:color="auto"/>
                            <w:right w:val="none" w:sz="0" w:space="0" w:color="auto"/>
                          </w:divBdr>
                          <w:divsChild>
                            <w:div w:id="331879904">
                              <w:marLeft w:val="0"/>
                              <w:marRight w:val="0"/>
                              <w:marTop w:val="0"/>
                              <w:marBottom w:val="0"/>
                              <w:divBdr>
                                <w:top w:val="none" w:sz="0" w:space="0" w:color="auto"/>
                                <w:left w:val="none" w:sz="0" w:space="0" w:color="auto"/>
                                <w:bottom w:val="none" w:sz="0" w:space="0" w:color="auto"/>
                                <w:right w:val="none" w:sz="0" w:space="0" w:color="auto"/>
                              </w:divBdr>
                              <w:divsChild>
                                <w:div w:id="1956014818">
                                  <w:marLeft w:val="0"/>
                                  <w:marRight w:val="0"/>
                                  <w:marTop w:val="0"/>
                                  <w:marBottom w:val="0"/>
                                  <w:divBdr>
                                    <w:top w:val="none" w:sz="0" w:space="0" w:color="auto"/>
                                    <w:left w:val="none" w:sz="0" w:space="0" w:color="auto"/>
                                    <w:bottom w:val="none" w:sz="0" w:space="0" w:color="auto"/>
                                    <w:right w:val="none" w:sz="0" w:space="0" w:color="auto"/>
                                  </w:divBdr>
                                  <w:divsChild>
                                    <w:div w:id="776020450">
                                      <w:marLeft w:val="0"/>
                                      <w:marRight w:val="0"/>
                                      <w:marTop w:val="0"/>
                                      <w:marBottom w:val="0"/>
                                      <w:divBdr>
                                        <w:top w:val="none" w:sz="0" w:space="0" w:color="auto"/>
                                        <w:left w:val="none" w:sz="0" w:space="0" w:color="auto"/>
                                        <w:bottom w:val="none" w:sz="0" w:space="0" w:color="auto"/>
                                        <w:right w:val="none" w:sz="0" w:space="0" w:color="auto"/>
                                      </w:divBdr>
                                      <w:divsChild>
                                        <w:div w:id="255285509">
                                          <w:marLeft w:val="0"/>
                                          <w:marRight w:val="0"/>
                                          <w:marTop w:val="0"/>
                                          <w:marBottom w:val="0"/>
                                          <w:divBdr>
                                            <w:top w:val="none" w:sz="0" w:space="0" w:color="auto"/>
                                            <w:left w:val="none" w:sz="0" w:space="0" w:color="auto"/>
                                            <w:bottom w:val="none" w:sz="0" w:space="0" w:color="auto"/>
                                            <w:right w:val="none" w:sz="0" w:space="0" w:color="auto"/>
                                          </w:divBdr>
                                          <w:divsChild>
                                            <w:div w:id="1948810869">
                                              <w:marLeft w:val="0"/>
                                              <w:marRight w:val="0"/>
                                              <w:marTop w:val="0"/>
                                              <w:marBottom w:val="0"/>
                                              <w:divBdr>
                                                <w:top w:val="none" w:sz="0" w:space="0" w:color="auto"/>
                                                <w:left w:val="none" w:sz="0" w:space="0" w:color="auto"/>
                                                <w:bottom w:val="none" w:sz="0" w:space="0" w:color="auto"/>
                                                <w:right w:val="none" w:sz="0" w:space="0" w:color="auto"/>
                                              </w:divBdr>
                                              <w:divsChild>
                                                <w:div w:id="1341009045">
                                                  <w:marLeft w:val="0"/>
                                                  <w:marRight w:val="0"/>
                                                  <w:marTop w:val="0"/>
                                                  <w:marBottom w:val="0"/>
                                                  <w:divBdr>
                                                    <w:top w:val="none" w:sz="0" w:space="0" w:color="auto"/>
                                                    <w:left w:val="none" w:sz="0" w:space="0" w:color="auto"/>
                                                    <w:bottom w:val="none" w:sz="0" w:space="0" w:color="auto"/>
                                                    <w:right w:val="none" w:sz="0" w:space="0" w:color="auto"/>
                                                  </w:divBdr>
                                                  <w:divsChild>
                                                    <w:div w:id="453718118">
                                                      <w:marLeft w:val="0"/>
                                                      <w:marRight w:val="0"/>
                                                      <w:marTop w:val="0"/>
                                                      <w:marBottom w:val="0"/>
                                                      <w:divBdr>
                                                        <w:top w:val="none" w:sz="0" w:space="0" w:color="auto"/>
                                                        <w:left w:val="none" w:sz="0" w:space="0" w:color="auto"/>
                                                        <w:bottom w:val="none" w:sz="0" w:space="0" w:color="auto"/>
                                                        <w:right w:val="none" w:sz="0" w:space="0" w:color="auto"/>
                                                      </w:divBdr>
                                                      <w:divsChild>
                                                        <w:div w:id="17111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2979075">
      <w:bodyDiv w:val="1"/>
      <w:marLeft w:val="0"/>
      <w:marRight w:val="0"/>
      <w:marTop w:val="0"/>
      <w:marBottom w:val="0"/>
      <w:divBdr>
        <w:top w:val="none" w:sz="0" w:space="0" w:color="auto"/>
        <w:left w:val="none" w:sz="0" w:space="0" w:color="auto"/>
        <w:bottom w:val="none" w:sz="0" w:space="0" w:color="auto"/>
        <w:right w:val="none" w:sz="0" w:space="0" w:color="auto"/>
      </w:divBdr>
    </w:div>
    <w:div w:id="301086229">
      <w:bodyDiv w:val="1"/>
      <w:marLeft w:val="0"/>
      <w:marRight w:val="0"/>
      <w:marTop w:val="0"/>
      <w:marBottom w:val="0"/>
      <w:divBdr>
        <w:top w:val="none" w:sz="0" w:space="0" w:color="auto"/>
        <w:left w:val="none" w:sz="0" w:space="0" w:color="auto"/>
        <w:bottom w:val="none" w:sz="0" w:space="0" w:color="auto"/>
        <w:right w:val="none" w:sz="0" w:space="0" w:color="auto"/>
      </w:divBdr>
    </w:div>
    <w:div w:id="367536101">
      <w:bodyDiv w:val="1"/>
      <w:marLeft w:val="0"/>
      <w:marRight w:val="0"/>
      <w:marTop w:val="0"/>
      <w:marBottom w:val="0"/>
      <w:divBdr>
        <w:top w:val="none" w:sz="0" w:space="0" w:color="auto"/>
        <w:left w:val="none" w:sz="0" w:space="0" w:color="auto"/>
        <w:bottom w:val="none" w:sz="0" w:space="0" w:color="auto"/>
        <w:right w:val="none" w:sz="0" w:space="0" w:color="auto"/>
      </w:divBdr>
    </w:div>
    <w:div w:id="373894185">
      <w:bodyDiv w:val="1"/>
      <w:marLeft w:val="0"/>
      <w:marRight w:val="0"/>
      <w:marTop w:val="0"/>
      <w:marBottom w:val="0"/>
      <w:divBdr>
        <w:top w:val="none" w:sz="0" w:space="0" w:color="auto"/>
        <w:left w:val="none" w:sz="0" w:space="0" w:color="auto"/>
        <w:bottom w:val="none" w:sz="0" w:space="0" w:color="auto"/>
        <w:right w:val="none" w:sz="0" w:space="0" w:color="auto"/>
      </w:divBdr>
    </w:div>
    <w:div w:id="401026610">
      <w:bodyDiv w:val="1"/>
      <w:marLeft w:val="0"/>
      <w:marRight w:val="0"/>
      <w:marTop w:val="0"/>
      <w:marBottom w:val="0"/>
      <w:divBdr>
        <w:top w:val="none" w:sz="0" w:space="0" w:color="auto"/>
        <w:left w:val="none" w:sz="0" w:space="0" w:color="auto"/>
        <w:bottom w:val="none" w:sz="0" w:space="0" w:color="auto"/>
        <w:right w:val="none" w:sz="0" w:space="0" w:color="auto"/>
      </w:divBdr>
    </w:div>
    <w:div w:id="715740997">
      <w:bodyDiv w:val="1"/>
      <w:marLeft w:val="0"/>
      <w:marRight w:val="0"/>
      <w:marTop w:val="0"/>
      <w:marBottom w:val="0"/>
      <w:divBdr>
        <w:top w:val="none" w:sz="0" w:space="0" w:color="auto"/>
        <w:left w:val="none" w:sz="0" w:space="0" w:color="auto"/>
        <w:bottom w:val="none" w:sz="0" w:space="0" w:color="auto"/>
        <w:right w:val="none" w:sz="0" w:space="0" w:color="auto"/>
      </w:divBdr>
      <w:divsChild>
        <w:div w:id="1920746632">
          <w:marLeft w:val="0"/>
          <w:marRight w:val="0"/>
          <w:marTop w:val="0"/>
          <w:marBottom w:val="0"/>
          <w:divBdr>
            <w:top w:val="none" w:sz="0" w:space="0" w:color="auto"/>
            <w:left w:val="none" w:sz="0" w:space="0" w:color="auto"/>
            <w:bottom w:val="none" w:sz="0" w:space="0" w:color="auto"/>
            <w:right w:val="none" w:sz="0" w:space="0" w:color="auto"/>
          </w:divBdr>
          <w:divsChild>
            <w:div w:id="70132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883225">
      <w:bodyDiv w:val="1"/>
      <w:marLeft w:val="0"/>
      <w:marRight w:val="0"/>
      <w:marTop w:val="0"/>
      <w:marBottom w:val="0"/>
      <w:divBdr>
        <w:top w:val="none" w:sz="0" w:space="0" w:color="auto"/>
        <w:left w:val="none" w:sz="0" w:space="0" w:color="auto"/>
        <w:bottom w:val="none" w:sz="0" w:space="0" w:color="auto"/>
        <w:right w:val="none" w:sz="0" w:space="0" w:color="auto"/>
      </w:divBdr>
    </w:div>
    <w:div w:id="941958293">
      <w:bodyDiv w:val="1"/>
      <w:marLeft w:val="0"/>
      <w:marRight w:val="0"/>
      <w:marTop w:val="0"/>
      <w:marBottom w:val="0"/>
      <w:divBdr>
        <w:top w:val="none" w:sz="0" w:space="0" w:color="auto"/>
        <w:left w:val="none" w:sz="0" w:space="0" w:color="auto"/>
        <w:bottom w:val="none" w:sz="0" w:space="0" w:color="auto"/>
        <w:right w:val="none" w:sz="0" w:space="0" w:color="auto"/>
      </w:divBdr>
      <w:divsChild>
        <w:div w:id="1467427914">
          <w:marLeft w:val="0"/>
          <w:marRight w:val="0"/>
          <w:marTop w:val="0"/>
          <w:marBottom w:val="0"/>
          <w:divBdr>
            <w:top w:val="none" w:sz="0" w:space="0" w:color="auto"/>
            <w:left w:val="none" w:sz="0" w:space="0" w:color="auto"/>
            <w:bottom w:val="none" w:sz="0" w:space="0" w:color="auto"/>
            <w:right w:val="none" w:sz="0" w:space="0" w:color="auto"/>
          </w:divBdr>
          <w:divsChild>
            <w:div w:id="380596965">
              <w:marLeft w:val="0"/>
              <w:marRight w:val="0"/>
              <w:marTop w:val="0"/>
              <w:marBottom w:val="0"/>
              <w:divBdr>
                <w:top w:val="none" w:sz="0" w:space="0" w:color="auto"/>
                <w:left w:val="none" w:sz="0" w:space="0" w:color="auto"/>
                <w:bottom w:val="none" w:sz="0" w:space="0" w:color="auto"/>
                <w:right w:val="none" w:sz="0" w:space="0" w:color="auto"/>
              </w:divBdr>
              <w:divsChild>
                <w:div w:id="137767292">
                  <w:marLeft w:val="0"/>
                  <w:marRight w:val="0"/>
                  <w:marTop w:val="0"/>
                  <w:marBottom w:val="0"/>
                  <w:divBdr>
                    <w:top w:val="none" w:sz="0" w:space="0" w:color="auto"/>
                    <w:left w:val="none" w:sz="0" w:space="0" w:color="auto"/>
                    <w:bottom w:val="none" w:sz="0" w:space="0" w:color="auto"/>
                    <w:right w:val="none" w:sz="0" w:space="0" w:color="auto"/>
                  </w:divBdr>
                  <w:divsChild>
                    <w:div w:id="1573588126">
                      <w:marLeft w:val="0"/>
                      <w:marRight w:val="0"/>
                      <w:marTop w:val="0"/>
                      <w:marBottom w:val="0"/>
                      <w:divBdr>
                        <w:top w:val="none" w:sz="0" w:space="0" w:color="auto"/>
                        <w:left w:val="none" w:sz="0" w:space="0" w:color="auto"/>
                        <w:bottom w:val="none" w:sz="0" w:space="0" w:color="auto"/>
                        <w:right w:val="none" w:sz="0" w:space="0" w:color="auto"/>
                      </w:divBdr>
                      <w:divsChild>
                        <w:div w:id="1093671430">
                          <w:marLeft w:val="0"/>
                          <w:marRight w:val="0"/>
                          <w:marTop w:val="0"/>
                          <w:marBottom w:val="0"/>
                          <w:divBdr>
                            <w:top w:val="none" w:sz="0" w:space="0" w:color="auto"/>
                            <w:left w:val="none" w:sz="0" w:space="0" w:color="auto"/>
                            <w:bottom w:val="none" w:sz="0" w:space="0" w:color="auto"/>
                            <w:right w:val="none" w:sz="0" w:space="0" w:color="auto"/>
                          </w:divBdr>
                          <w:divsChild>
                            <w:div w:id="1416199525">
                              <w:marLeft w:val="0"/>
                              <w:marRight w:val="0"/>
                              <w:marTop w:val="0"/>
                              <w:marBottom w:val="0"/>
                              <w:divBdr>
                                <w:top w:val="none" w:sz="0" w:space="0" w:color="auto"/>
                                <w:left w:val="none" w:sz="0" w:space="0" w:color="auto"/>
                                <w:bottom w:val="none" w:sz="0" w:space="0" w:color="auto"/>
                                <w:right w:val="none" w:sz="0" w:space="0" w:color="auto"/>
                              </w:divBdr>
                              <w:divsChild>
                                <w:div w:id="1510146123">
                                  <w:marLeft w:val="0"/>
                                  <w:marRight w:val="0"/>
                                  <w:marTop w:val="0"/>
                                  <w:marBottom w:val="0"/>
                                  <w:divBdr>
                                    <w:top w:val="none" w:sz="0" w:space="0" w:color="auto"/>
                                    <w:left w:val="none" w:sz="0" w:space="0" w:color="auto"/>
                                    <w:bottom w:val="none" w:sz="0" w:space="0" w:color="auto"/>
                                    <w:right w:val="none" w:sz="0" w:space="0" w:color="auto"/>
                                  </w:divBdr>
                                  <w:divsChild>
                                    <w:div w:id="193660200">
                                      <w:marLeft w:val="0"/>
                                      <w:marRight w:val="0"/>
                                      <w:marTop w:val="0"/>
                                      <w:marBottom w:val="0"/>
                                      <w:divBdr>
                                        <w:top w:val="none" w:sz="0" w:space="0" w:color="auto"/>
                                        <w:left w:val="none" w:sz="0" w:space="0" w:color="auto"/>
                                        <w:bottom w:val="none" w:sz="0" w:space="0" w:color="auto"/>
                                        <w:right w:val="none" w:sz="0" w:space="0" w:color="auto"/>
                                      </w:divBdr>
                                      <w:divsChild>
                                        <w:div w:id="777405031">
                                          <w:marLeft w:val="0"/>
                                          <w:marRight w:val="0"/>
                                          <w:marTop w:val="0"/>
                                          <w:marBottom w:val="0"/>
                                          <w:divBdr>
                                            <w:top w:val="none" w:sz="0" w:space="0" w:color="auto"/>
                                            <w:left w:val="none" w:sz="0" w:space="0" w:color="auto"/>
                                            <w:bottom w:val="none" w:sz="0" w:space="0" w:color="auto"/>
                                            <w:right w:val="none" w:sz="0" w:space="0" w:color="auto"/>
                                          </w:divBdr>
                                          <w:divsChild>
                                            <w:div w:id="493617780">
                                              <w:marLeft w:val="0"/>
                                              <w:marRight w:val="0"/>
                                              <w:marTop w:val="0"/>
                                              <w:marBottom w:val="0"/>
                                              <w:divBdr>
                                                <w:top w:val="none" w:sz="0" w:space="0" w:color="auto"/>
                                                <w:left w:val="none" w:sz="0" w:space="0" w:color="auto"/>
                                                <w:bottom w:val="none" w:sz="0" w:space="0" w:color="auto"/>
                                                <w:right w:val="none" w:sz="0" w:space="0" w:color="auto"/>
                                              </w:divBdr>
                                              <w:divsChild>
                                                <w:div w:id="953096912">
                                                  <w:marLeft w:val="0"/>
                                                  <w:marRight w:val="0"/>
                                                  <w:marTop w:val="0"/>
                                                  <w:marBottom w:val="0"/>
                                                  <w:divBdr>
                                                    <w:top w:val="none" w:sz="0" w:space="0" w:color="auto"/>
                                                    <w:left w:val="none" w:sz="0" w:space="0" w:color="auto"/>
                                                    <w:bottom w:val="none" w:sz="0" w:space="0" w:color="auto"/>
                                                    <w:right w:val="none" w:sz="0" w:space="0" w:color="auto"/>
                                                  </w:divBdr>
                                                  <w:divsChild>
                                                    <w:div w:id="1744528155">
                                                      <w:marLeft w:val="0"/>
                                                      <w:marRight w:val="0"/>
                                                      <w:marTop w:val="0"/>
                                                      <w:marBottom w:val="0"/>
                                                      <w:divBdr>
                                                        <w:top w:val="none" w:sz="0" w:space="0" w:color="auto"/>
                                                        <w:left w:val="none" w:sz="0" w:space="0" w:color="auto"/>
                                                        <w:bottom w:val="none" w:sz="0" w:space="0" w:color="auto"/>
                                                        <w:right w:val="none" w:sz="0" w:space="0" w:color="auto"/>
                                                      </w:divBdr>
                                                      <w:divsChild>
                                                        <w:div w:id="73401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6626551">
      <w:bodyDiv w:val="1"/>
      <w:marLeft w:val="0"/>
      <w:marRight w:val="0"/>
      <w:marTop w:val="0"/>
      <w:marBottom w:val="0"/>
      <w:divBdr>
        <w:top w:val="none" w:sz="0" w:space="0" w:color="auto"/>
        <w:left w:val="none" w:sz="0" w:space="0" w:color="auto"/>
        <w:bottom w:val="none" w:sz="0" w:space="0" w:color="auto"/>
        <w:right w:val="none" w:sz="0" w:space="0" w:color="auto"/>
      </w:divBdr>
    </w:div>
    <w:div w:id="1237013592">
      <w:bodyDiv w:val="1"/>
      <w:marLeft w:val="0"/>
      <w:marRight w:val="0"/>
      <w:marTop w:val="0"/>
      <w:marBottom w:val="0"/>
      <w:divBdr>
        <w:top w:val="none" w:sz="0" w:space="0" w:color="auto"/>
        <w:left w:val="none" w:sz="0" w:space="0" w:color="auto"/>
        <w:bottom w:val="none" w:sz="0" w:space="0" w:color="auto"/>
        <w:right w:val="none" w:sz="0" w:space="0" w:color="auto"/>
      </w:divBdr>
    </w:div>
    <w:div w:id="1311977548">
      <w:bodyDiv w:val="1"/>
      <w:marLeft w:val="0"/>
      <w:marRight w:val="0"/>
      <w:marTop w:val="0"/>
      <w:marBottom w:val="0"/>
      <w:divBdr>
        <w:top w:val="none" w:sz="0" w:space="0" w:color="auto"/>
        <w:left w:val="none" w:sz="0" w:space="0" w:color="auto"/>
        <w:bottom w:val="none" w:sz="0" w:space="0" w:color="auto"/>
        <w:right w:val="none" w:sz="0" w:space="0" w:color="auto"/>
      </w:divBdr>
    </w:div>
    <w:div w:id="1398014019">
      <w:bodyDiv w:val="1"/>
      <w:marLeft w:val="0"/>
      <w:marRight w:val="0"/>
      <w:marTop w:val="0"/>
      <w:marBottom w:val="0"/>
      <w:divBdr>
        <w:top w:val="none" w:sz="0" w:space="0" w:color="auto"/>
        <w:left w:val="none" w:sz="0" w:space="0" w:color="auto"/>
        <w:bottom w:val="none" w:sz="0" w:space="0" w:color="auto"/>
        <w:right w:val="none" w:sz="0" w:space="0" w:color="auto"/>
      </w:divBdr>
    </w:div>
    <w:div w:id="1656958717">
      <w:bodyDiv w:val="1"/>
      <w:marLeft w:val="0"/>
      <w:marRight w:val="0"/>
      <w:marTop w:val="0"/>
      <w:marBottom w:val="0"/>
      <w:divBdr>
        <w:top w:val="none" w:sz="0" w:space="0" w:color="auto"/>
        <w:left w:val="none" w:sz="0" w:space="0" w:color="auto"/>
        <w:bottom w:val="none" w:sz="0" w:space="0" w:color="auto"/>
        <w:right w:val="none" w:sz="0" w:space="0" w:color="auto"/>
      </w:divBdr>
    </w:div>
    <w:div w:id="2095393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pandas.pydata.org" TargetMode="External"/><Relationship Id="rId3" Type="http://schemas.openxmlformats.org/officeDocument/2006/relationships/settings" Target="settings.xml"/><Relationship Id="rId21" Type="http://schemas.openxmlformats.org/officeDocument/2006/relationships/hyperlink" Target="https://seaborn.pydata.org"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amfiindia.com"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matplotlib.or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numpy.or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215</TotalTime>
  <Pages>17</Pages>
  <Words>2311</Words>
  <Characters>13175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surajn</dc:creator>
  <cp:lastModifiedBy>surajn</cp:lastModifiedBy>
  <cp:revision>2</cp:revision>
  <dcterms:created xsi:type="dcterms:W3CDTF">2026-06-11T06:06:00Z</dcterms:created>
  <dcterms:modified xsi:type="dcterms:W3CDTF">2026-06-11T11:24:00Z</dcterms:modified>
</cp:coreProperties>
</file>