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CB03" w14:textId="537A8D5C" w:rsidR="0094198A" w:rsidRDefault="00F536B9" w:rsidP="0094198A">
      <w:pPr>
        <w:jc w:val="center"/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 xml:space="preserve">Business </w:t>
      </w:r>
      <w:r w:rsidRPr="00F536B9">
        <w:rPr>
          <w:b/>
          <w:bCs/>
          <w:color w:val="156082" w:themeColor="accent1"/>
          <w:sz w:val="36"/>
          <w:szCs w:val="36"/>
        </w:rPr>
        <w:t>Insights</w:t>
      </w:r>
    </w:p>
    <w:p w14:paraId="1DE20663" w14:textId="77777777" w:rsidR="0094198A" w:rsidRPr="007A6FE2" w:rsidRDefault="0094198A" w:rsidP="0094198A">
      <w:pPr>
        <w:rPr>
          <w:b/>
          <w:bCs/>
          <w:sz w:val="20"/>
          <w:szCs w:val="20"/>
        </w:rPr>
      </w:pPr>
      <w:proofErr w:type="spellStart"/>
      <w:r w:rsidRPr="007A6FE2">
        <w:rPr>
          <w:i/>
          <w:iCs/>
        </w:rPr>
        <w:t>Analyzing</w:t>
      </w:r>
      <w:proofErr w:type="spellEnd"/>
      <w:r w:rsidRPr="007A6FE2">
        <w:rPr>
          <w:i/>
          <w:iCs/>
        </w:rPr>
        <w:t xml:space="preserve"> Financial Health, Capital Efficiency, Valuation, and Sector-Level Investment Risk</w:t>
      </w:r>
    </w:p>
    <w:p w14:paraId="031BD02C" w14:textId="77777777" w:rsidR="0094198A" w:rsidRDefault="0094198A" w:rsidP="0094198A">
      <w:pPr>
        <w:spacing w:after="40" w:line="240" w:lineRule="auto"/>
        <w:rPr>
          <w:b/>
          <w:bCs/>
          <w:sz w:val="20"/>
          <w:szCs w:val="20"/>
        </w:rPr>
      </w:pPr>
    </w:p>
    <w:p w14:paraId="5D0DD10B" w14:textId="77777777" w:rsidR="0094198A" w:rsidRPr="00D67C66" w:rsidRDefault="0094198A" w:rsidP="0094198A">
      <w:pPr>
        <w:spacing w:after="40" w:line="240" w:lineRule="auto"/>
        <w:rPr>
          <w:sz w:val="20"/>
          <w:szCs w:val="20"/>
        </w:rPr>
      </w:pPr>
      <w:r w:rsidRPr="00D67C66">
        <w:rPr>
          <w:b/>
          <w:bCs/>
          <w:sz w:val="20"/>
          <w:szCs w:val="20"/>
        </w:rPr>
        <w:t>Prepared by: Mrinal</w:t>
      </w:r>
    </w:p>
    <w:p w14:paraId="76198184" w14:textId="77777777" w:rsidR="0094198A" w:rsidRDefault="0094198A" w:rsidP="0094198A">
      <w:pPr>
        <w:spacing w:after="40" w:line="240" w:lineRule="auto"/>
        <w:rPr>
          <w:sz w:val="20"/>
          <w:szCs w:val="20"/>
        </w:rPr>
      </w:pPr>
      <w:r w:rsidRPr="00D67C66">
        <w:rPr>
          <w:sz w:val="20"/>
          <w:szCs w:val="20"/>
        </w:rPr>
        <w:t>Role: Business Analyst</w:t>
      </w:r>
    </w:p>
    <w:p w14:paraId="4B8A92B9" w14:textId="5E67BB03" w:rsidR="0094198A" w:rsidRDefault="0094198A" w:rsidP="0094198A">
      <w:pPr>
        <w:spacing w:after="40" w:line="240" w:lineRule="auto"/>
        <w:rPr>
          <w:sz w:val="20"/>
          <w:szCs w:val="20"/>
        </w:rPr>
      </w:pPr>
      <w:r w:rsidRPr="00D67C66">
        <w:rPr>
          <w:sz w:val="20"/>
          <w:szCs w:val="20"/>
        </w:rPr>
        <w:t xml:space="preserve">Date: </w:t>
      </w:r>
      <w:r>
        <w:rPr>
          <w:sz w:val="20"/>
          <w:szCs w:val="20"/>
        </w:rPr>
        <w:t>16</w:t>
      </w:r>
      <w:r w:rsidRPr="00D67C66">
        <w:rPr>
          <w:sz w:val="20"/>
          <w:szCs w:val="20"/>
        </w:rPr>
        <w:t xml:space="preserve"> </w:t>
      </w:r>
      <w:r>
        <w:rPr>
          <w:sz w:val="20"/>
          <w:szCs w:val="20"/>
        </w:rPr>
        <w:t>Aug</w:t>
      </w:r>
      <w:r w:rsidRPr="00D67C66">
        <w:rPr>
          <w:sz w:val="20"/>
          <w:szCs w:val="20"/>
        </w:rPr>
        <w:t xml:space="preserve"> 2026</w:t>
      </w:r>
    </w:p>
    <w:p w14:paraId="1E2BA118" w14:textId="77777777" w:rsidR="0094198A" w:rsidRDefault="0094198A" w:rsidP="0094198A">
      <w:pPr>
        <w:spacing w:line="240" w:lineRule="auto"/>
        <w:rPr>
          <w:sz w:val="20"/>
          <w:szCs w:val="20"/>
        </w:rPr>
      </w:pPr>
    </w:p>
    <w:p w14:paraId="0ACFE00D" w14:textId="77777777" w:rsidR="0094198A" w:rsidRPr="00D67C66" w:rsidRDefault="0094198A" w:rsidP="0094198A">
      <w:pPr>
        <w:spacing w:line="240" w:lineRule="auto"/>
        <w:rPr>
          <w:sz w:val="20"/>
          <w:szCs w:val="20"/>
        </w:rPr>
      </w:pPr>
    </w:p>
    <w:p w14:paraId="42FF5144" w14:textId="28A50DDF" w:rsidR="00F536B9" w:rsidRPr="00F536B9" w:rsidRDefault="00F536B9" w:rsidP="00F536B9">
      <w:r w:rsidRPr="00F536B9">
        <w:rPr>
          <w:b/>
          <w:bCs/>
          <w:color w:val="156082" w:themeColor="accent1"/>
          <w:sz w:val="32"/>
          <w:szCs w:val="32"/>
        </w:rPr>
        <w:t>1.</w:t>
      </w:r>
      <w:r w:rsidRPr="00F536B9">
        <w:rPr>
          <w:b/>
          <w:bCs/>
          <w:color w:val="156082" w:themeColor="accent1"/>
          <w:sz w:val="32"/>
          <w:szCs w:val="32"/>
        </w:rPr>
        <w:t>Generative AI Market Dominance &amp; Valuation Premium</w:t>
      </w:r>
    </w:p>
    <w:p w14:paraId="6725D6D2" w14:textId="75312972" w:rsidR="00F536B9" w:rsidRPr="00F536B9" w:rsidRDefault="00F536B9" w:rsidP="00F536B9">
      <w:pPr>
        <w:pStyle w:val="ListParagraph"/>
        <w:numPr>
          <w:ilvl w:val="0"/>
          <w:numId w:val="4"/>
        </w:numPr>
      </w:pPr>
      <w:r w:rsidRPr="00F536B9">
        <w:t xml:space="preserve">Generative AI commands the highest total funding ($0.57M) and total valuation ($4.4M) by a wide margin across all tech domains. </w:t>
      </w:r>
    </w:p>
    <w:p w14:paraId="264F398A" w14:textId="624A651A" w:rsidR="00F536B9" w:rsidRPr="00F536B9" w:rsidRDefault="00F536B9" w:rsidP="00F536B9">
      <w:pPr>
        <w:pStyle w:val="ListParagraph"/>
        <w:numPr>
          <w:ilvl w:val="0"/>
          <w:numId w:val="4"/>
        </w:numPr>
      </w:pPr>
      <w:r w:rsidRPr="00F536B9">
        <w:t xml:space="preserve">Despite commanding massive market attention and high valuation multiples, Generative AI maintains a strong average runway of 15.06 months. </w:t>
      </w:r>
    </w:p>
    <w:p w14:paraId="485F21B3" w14:textId="77777777" w:rsidR="00F536B9" w:rsidRPr="00F536B9" w:rsidRDefault="00F536B9" w:rsidP="00F536B9">
      <w:pPr>
        <w:pStyle w:val="ListParagraph"/>
        <w:numPr>
          <w:ilvl w:val="0"/>
          <w:numId w:val="4"/>
        </w:numPr>
      </w:pPr>
      <w:r w:rsidRPr="00F536B9">
        <w:t xml:space="preserve">Generative AI exhibits the lowest structural risk profile, boasting a minimal layoff rate of 8.07% and the highest headcount retention at 91.93%. </w:t>
      </w:r>
    </w:p>
    <w:p w14:paraId="049C9D35" w14:textId="77777777" w:rsidR="00F536B9" w:rsidRPr="00F536B9" w:rsidRDefault="00F536B9" w:rsidP="00F536B9"/>
    <w:p w14:paraId="6464EAA8" w14:textId="5F11F5D5" w:rsidR="00F536B9" w:rsidRPr="00F536B9" w:rsidRDefault="00F536B9" w:rsidP="00F536B9">
      <w:pPr>
        <w:rPr>
          <w:b/>
          <w:bCs/>
          <w:color w:val="156082" w:themeColor="accent1"/>
          <w:sz w:val="32"/>
          <w:szCs w:val="32"/>
        </w:rPr>
      </w:pPr>
      <w:r w:rsidRPr="00F536B9">
        <w:rPr>
          <w:b/>
          <w:bCs/>
          <w:color w:val="156082" w:themeColor="accent1"/>
          <w:sz w:val="32"/>
          <w:szCs w:val="32"/>
        </w:rPr>
        <w:t>2.</w:t>
      </w:r>
      <w:r w:rsidRPr="00F536B9">
        <w:rPr>
          <w:b/>
          <w:bCs/>
          <w:color w:val="156082" w:themeColor="accent1"/>
          <w:sz w:val="32"/>
          <w:szCs w:val="32"/>
        </w:rPr>
        <w:t>Capital Efficiency vs. Financial Health Disconnect</w:t>
      </w:r>
    </w:p>
    <w:p w14:paraId="07252195" w14:textId="5C234AF2" w:rsidR="00F536B9" w:rsidRPr="00F536B9" w:rsidRDefault="00F536B9" w:rsidP="00F536B9">
      <w:pPr>
        <w:pStyle w:val="ListParagraph"/>
        <w:numPr>
          <w:ilvl w:val="0"/>
          <w:numId w:val="3"/>
        </w:numPr>
      </w:pPr>
      <w:r w:rsidRPr="00F536B9">
        <w:t xml:space="preserve">FinTech leads all technology sectors in capital efficiency at 0.61, closely followed by </w:t>
      </w:r>
      <w:proofErr w:type="spellStart"/>
      <w:r w:rsidRPr="00F536B9">
        <w:t>ClimateTech</w:t>
      </w:r>
      <w:proofErr w:type="spellEnd"/>
      <w:r w:rsidRPr="00F536B9">
        <w:t xml:space="preserve"> (0.60) and Cybersecurity (0.58). </w:t>
      </w:r>
    </w:p>
    <w:p w14:paraId="50C724D2" w14:textId="14426104" w:rsidR="00F536B9" w:rsidRPr="00F536B9" w:rsidRDefault="00F536B9" w:rsidP="00F536B9">
      <w:pPr>
        <w:pStyle w:val="ListParagraph"/>
        <w:numPr>
          <w:ilvl w:val="0"/>
          <w:numId w:val="3"/>
        </w:numPr>
      </w:pPr>
      <w:r w:rsidRPr="00F536B9">
        <w:t xml:space="preserve">However, EdTech and HealthTech show elevated burn-to-revenue pressures, with EdTech registering a burn-to-revenue ratio of 121%, indicating high cash consumption relative to revenue generation. </w:t>
      </w:r>
    </w:p>
    <w:p w14:paraId="02DC769E" w14:textId="77777777" w:rsidR="00F536B9" w:rsidRPr="00F536B9" w:rsidRDefault="00F536B9" w:rsidP="00F536B9">
      <w:pPr>
        <w:pStyle w:val="ListParagraph"/>
        <w:numPr>
          <w:ilvl w:val="0"/>
          <w:numId w:val="3"/>
        </w:numPr>
      </w:pPr>
      <w:r w:rsidRPr="00F536B9">
        <w:t xml:space="preserve">Across funding stages, Seed-stage startups demonstrate an exceptionally high capital efficiency ratio of 0.89 compared to a baseline average of 0.56, showing tighter capital discipline at inception. </w:t>
      </w:r>
    </w:p>
    <w:p w14:paraId="6CDA84C8" w14:textId="77777777" w:rsidR="00F536B9" w:rsidRDefault="00F536B9" w:rsidP="00F536B9"/>
    <w:p w14:paraId="230D05DC" w14:textId="4F10DF35" w:rsidR="00F536B9" w:rsidRPr="00F536B9" w:rsidRDefault="00F536B9" w:rsidP="00F536B9">
      <w:pPr>
        <w:rPr>
          <w:color w:val="156082" w:themeColor="accent1"/>
          <w:sz w:val="32"/>
          <w:szCs w:val="32"/>
        </w:rPr>
      </w:pPr>
      <w:r w:rsidRPr="00F536B9">
        <w:rPr>
          <w:b/>
          <w:bCs/>
          <w:color w:val="156082" w:themeColor="accent1"/>
          <w:sz w:val="32"/>
          <w:szCs w:val="32"/>
        </w:rPr>
        <w:t>3.</w:t>
      </w:r>
      <w:r w:rsidRPr="00F536B9">
        <w:rPr>
          <w:b/>
          <w:bCs/>
          <w:color w:val="156082" w:themeColor="accent1"/>
          <w:sz w:val="32"/>
          <w:szCs w:val="32"/>
        </w:rPr>
        <w:t>Operational Risk &amp; High Distress in Web3/Crypto</w:t>
      </w:r>
    </w:p>
    <w:p w14:paraId="20273969" w14:textId="46E819F1" w:rsidR="00F536B9" w:rsidRPr="00F536B9" w:rsidRDefault="00F536B9" w:rsidP="00F536B9">
      <w:pPr>
        <w:pStyle w:val="ListParagraph"/>
        <w:numPr>
          <w:ilvl w:val="0"/>
          <w:numId w:val="5"/>
        </w:numPr>
      </w:pPr>
      <w:r w:rsidRPr="00F536B9">
        <w:t xml:space="preserve">Web3/Crypto exhibits extreme macroeconomic and operational volatility, marked by a severe layoff rate of 52.43%. </w:t>
      </w:r>
    </w:p>
    <w:p w14:paraId="67639E7A" w14:textId="28B3D059" w:rsidR="00F536B9" w:rsidRPr="00F536B9" w:rsidRDefault="00F536B9" w:rsidP="00F536B9">
      <w:pPr>
        <w:pStyle w:val="ListParagraph"/>
        <w:numPr>
          <w:ilvl w:val="0"/>
          <w:numId w:val="5"/>
        </w:numPr>
      </w:pPr>
      <w:r w:rsidRPr="00F536B9">
        <w:t xml:space="preserve">The sector also suffers from an unsustainable closed/distressed rate of 48.12% and a low headcount retention of only 47.57%. </w:t>
      </w:r>
    </w:p>
    <w:p w14:paraId="73C38EFA" w14:textId="77777777" w:rsidR="00F536B9" w:rsidRPr="00F536B9" w:rsidRDefault="00F536B9" w:rsidP="00F536B9">
      <w:pPr>
        <w:pStyle w:val="ListParagraph"/>
        <w:numPr>
          <w:ilvl w:val="0"/>
          <w:numId w:val="5"/>
        </w:numPr>
      </w:pPr>
      <w:r w:rsidRPr="00F536B9">
        <w:t xml:space="preserve">Conversely, traditional software and infrastructure sectors maintain stable operational baselines with average headcount retention clustered near 85%. </w:t>
      </w:r>
    </w:p>
    <w:p w14:paraId="3050F2CD" w14:textId="77777777" w:rsidR="00F536B9" w:rsidRPr="00F536B9" w:rsidRDefault="00F536B9" w:rsidP="00F536B9"/>
    <w:p w14:paraId="70DBE950" w14:textId="77777777" w:rsidR="00F536B9" w:rsidRDefault="00F536B9" w:rsidP="00F536B9">
      <w:pPr>
        <w:rPr>
          <w:b/>
          <w:bCs/>
          <w:color w:val="156082" w:themeColor="accent1"/>
          <w:sz w:val="32"/>
          <w:szCs w:val="32"/>
        </w:rPr>
      </w:pPr>
    </w:p>
    <w:p w14:paraId="73F56413" w14:textId="77777777" w:rsidR="00F536B9" w:rsidRDefault="00F536B9" w:rsidP="00F536B9">
      <w:pPr>
        <w:rPr>
          <w:b/>
          <w:bCs/>
          <w:color w:val="156082" w:themeColor="accent1"/>
          <w:sz w:val="32"/>
          <w:szCs w:val="32"/>
        </w:rPr>
      </w:pPr>
    </w:p>
    <w:p w14:paraId="2D4D4EBA" w14:textId="1C5758D5" w:rsidR="00F536B9" w:rsidRPr="00F536B9" w:rsidRDefault="00F536B9" w:rsidP="00F536B9">
      <w:pPr>
        <w:rPr>
          <w:color w:val="156082" w:themeColor="accent1"/>
          <w:sz w:val="32"/>
          <w:szCs w:val="32"/>
        </w:rPr>
      </w:pPr>
      <w:r w:rsidRPr="00F536B9">
        <w:rPr>
          <w:b/>
          <w:bCs/>
          <w:color w:val="156082" w:themeColor="accent1"/>
          <w:sz w:val="32"/>
          <w:szCs w:val="32"/>
        </w:rPr>
        <w:lastRenderedPageBreak/>
        <w:t>4.</w:t>
      </w:r>
      <w:r w:rsidRPr="00F536B9">
        <w:rPr>
          <w:b/>
          <w:bCs/>
          <w:color w:val="156082" w:themeColor="accent1"/>
          <w:sz w:val="32"/>
          <w:szCs w:val="32"/>
        </w:rPr>
        <w:t>Portfolio Diversification &amp; Due Diligence Recommendations</w:t>
      </w:r>
    </w:p>
    <w:p w14:paraId="55E337A6" w14:textId="040533A8" w:rsidR="00F536B9" w:rsidRPr="00F536B9" w:rsidRDefault="00F536B9" w:rsidP="00F536B9">
      <w:pPr>
        <w:pStyle w:val="ListParagraph"/>
        <w:numPr>
          <w:ilvl w:val="0"/>
          <w:numId w:val="6"/>
        </w:numPr>
      </w:pPr>
      <w:r w:rsidRPr="00F536B9">
        <w:t xml:space="preserve">Investment committees should prioritize capital deployment into high-retention, high-runway sectors like Generative AI while using strict valuation-to-revenue multiples to screen for overvaluation. </w:t>
      </w:r>
    </w:p>
    <w:p w14:paraId="4C77BAAD" w14:textId="0E38052A" w:rsidR="00F536B9" w:rsidRPr="00F536B9" w:rsidRDefault="00F536B9" w:rsidP="00F536B9">
      <w:pPr>
        <w:pStyle w:val="ListParagraph"/>
        <w:numPr>
          <w:ilvl w:val="0"/>
          <w:numId w:val="6"/>
        </w:numPr>
      </w:pPr>
      <w:r w:rsidRPr="00F536B9">
        <w:t>High-burn sectors like EdTech require mandatory cash runway audits and stricter burn multiple gates (targeting under 1.5x) during investment due diligence.</w:t>
      </w:r>
    </w:p>
    <w:p w14:paraId="28416DF8" w14:textId="77777777" w:rsidR="00F536B9" w:rsidRPr="00F536B9" w:rsidRDefault="00F536B9" w:rsidP="00F536B9">
      <w:pPr>
        <w:pStyle w:val="ListParagraph"/>
        <w:numPr>
          <w:ilvl w:val="0"/>
          <w:numId w:val="6"/>
        </w:numPr>
      </w:pPr>
      <w:r w:rsidRPr="00F536B9">
        <w:t xml:space="preserve">Web3/Crypto allocations require highly selective underwriting or structured risk-hedging due to elevated structural closure and layoff rates. </w:t>
      </w:r>
    </w:p>
    <w:p w14:paraId="6CBD8326" w14:textId="77777777" w:rsidR="001B16A3" w:rsidRDefault="001B16A3" w:rsidP="00F536B9"/>
    <w:sectPr w:rsidR="001B1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0C0E"/>
    <w:multiLevelType w:val="hybridMultilevel"/>
    <w:tmpl w:val="671E5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D1E5A"/>
    <w:multiLevelType w:val="hybridMultilevel"/>
    <w:tmpl w:val="44A4B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12EC3"/>
    <w:multiLevelType w:val="hybridMultilevel"/>
    <w:tmpl w:val="6AE66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B5AFC"/>
    <w:multiLevelType w:val="multilevel"/>
    <w:tmpl w:val="690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41FE8"/>
    <w:multiLevelType w:val="multilevel"/>
    <w:tmpl w:val="7F8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B3166"/>
    <w:multiLevelType w:val="hybridMultilevel"/>
    <w:tmpl w:val="AC7CA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8758">
    <w:abstractNumId w:val="3"/>
  </w:num>
  <w:num w:numId="2" w16cid:durableId="561330176">
    <w:abstractNumId w:val="4"/>
  </w:num>
  <w:num w:numId="3" w16cid:durableId="310519975">
    <w:abstractNumId w:val="5"/>
  </w:num>
  <w:num w:numId="4" w16cid:durableId="1046492553">
    <w:abstractNumId w:val="0"/>
  </w:num>
  <w:num w:numId="5" w16cid:durableId="1160000553">
    <w:abstractNumId w:val="1"/>
  </w:num>
  <w:num w:numId="6" w16cid:durableId="157635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8A"/>
    <w:rsid w:val="00173296"/>
    <w:rsid w:val="001B16A3"/>
    <w:rsid w:val="0094198A"/>
    <w:rsid w:val="00CB4DF7"/>
    <w:rsid w:val="00D03B69"/>
    <w:rsid w:val="00F5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8C16"/>
  <w15:chartTrackingRefBased/>
  <w15:docId w15:val="{ADCFDEE6-35B4-4E75-A483-7872D1FF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98A"/>
  </w:style>
  <w:style w:type="paragraph" w:styleId="Heading1">
    <w:name w:val="heading 1"/>
    <w:basedOn w:val="Normal"/>
    <w:next w:val="Normal"/>
    <w:link w:val="Heading1Char"/>
    <w:uiPriority w:val="9"/>
    <w:qFormat/>
    <w:rsid w:val="0094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SEN GUPTA</dc:creator>
  <cp:keywords/>
  <dc:description/>
  <cp:lastModifiedBy>MRINAL SEN GUPTA</cp:lastModifiedBy>
  <cp:revision>2</cp:revision>
  <dcterms:created xsi:type="dcterms:W3CDTF">2026-08-21T19:48:00Z</dcterms:created>
  <dcterms:modified xsi:type="dcterms:W3CDTF">2026-08-21T19:58:00Z</dcterms:modified>
</cp:coreProperties>
</file>